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FDEE7" w14:textId="18B0125F" w:rsidR="002A41CE" w:rsidRPr="0016478E" w:rsidRDefault="002A41CE" w:rsidP="00895D16">
      <w:pPr>
        <w:pStyle w:val="Titre"/>
      </w:pPr>
      <w:r w:rsidRPr="0016478E">
        <w:t>Vade-mecum relatif à la mise en œuvre de « l’exception handicap » dans les</w:t>
      </w:r>
      <w:r w:rsidR="00DE6A9B" w:rsidRPr="0016478E">
        <w:t xml:space="preserve"> bibliothèques publiques</w:t>
      </w:r>
    </w:p>
    <w:p w14:paraId="613403F9" w14:textId="77777777" w:rsidR="0055384F" w:rsidRPr="0016478E" w:rsidRDefault="0055384F" w:rsidP="00431915">
      <w:pPr>
        <w:rPr>
          <w:lang w:eastAsia="en-US"/>
        </w:rPr>
      </w:pPr>
    </w:p>
    <w:p w14:paraId="58644FAA" w14:textId="2E29C61A" w:rsidR="0029286B" w:rsidRPr="0016478E" w:rsidRDefault="00276D13" w:rsidP="00431915">
      <w:r w:rsidRPr="0016478E">
        <w:t xml:space="preserve">Ce </w:t>
      </w:r>
      <w:r w:rsidR="002A41CE" w:rsidRPr="0016478E">
        <w:t>vade-mecum est destiné à accompagner les bibliothèques publiques dans leurs demandes d’habilitation pour bénéficier de l’exception au droit d’auteur en faveur des personnes handicapées. Il complète le Guide des bonnes pratiques à destination des organismes bénéficiant de l’</w:t>
      </w:r>
      <w:r w:rsidR="00F67339" w:rsidRPr="0016478E">
        <w:t xml:space="preserve">exception </w:t>
      </w:r>
      <w:r w:rsidR="00993A06" w:rsidRPr="0016478E">
        <w:t>handicap</w:t>
      </w:r>
      <w:r w:rsidR="00A23D2B" w:rsidRPr="0016478E">
        <w:t xml:space="preserve">, consultable sur </w:t>
      </w:r>
      <w:r w:rsidR="00CB2A22">
        <w:t xml:space="preserve">la page </w:t>
      </w:r>
      <w:hyperlink r:id="rId8" w:history="1">
        <w:r w:rsidR="00CB2A22" w:rsidRPr="00CB2A22">
          <w:rPr>
            <w:rStyle w:val="Lienhypertexte"/>
          </w:rPr>
          <w:t>Habilitation au titre de l’exception handicap au droit d’auteur</w:t>
        </w:r>
      </w:hyperlink>
      <w:r w:rsidR="00CB2A22" w:rsidRPr="00CB2A22">
        <w:rPr>
          <w:color w:val="000000"/>
        </w:rPr>
        <w:t xml:space="preserve"> </w:t>
      </w:r>
      <w:r w:rsidR="00CB2A22">
        <w:rPr>
          <w:color w:val="000000"/>
        </w:rPr>
        <w:t xml:space="preserve">du </w:t>
      </w:r>
      <w:r w:rsidR="00CB2A22" w:rsidRPr="0016478E">
        <w:rPr>
          <w:color w:val="000000"/>
        </w:rPr>
        <w:t>site du ministère de la Culture</w:t>
      </w:r>
      <w:r w:rsidR="00CB2A22">
        <w:rPr>
          <w:color w:val="000000"/>
        </w:rPr>
        <w:t>.</w:t>
      </w:r>
    </w:p>
    <w:p w14:paraId="1B511AD4" w14:textId="6C68550A" w:rsidR="0029286B" w:rsidRPr="0016478E" w:rsidRDefault="00993A06" w:rsidP="00431915">
      <w:r w:rsidRPr="0016478E">
        <w:t xml:space="preserve">Le nouveau cadre juridique de cette </w:t>
      </w:r>
      <w:r w:rsidR="002A41CE" w:rsidRPr="0016478E">
        <w:t xml:space="preserve">exception au droit d’auteur ouvre </w:t>
      </w:r>
      <w:r w:rsidR="00CE46C9" w:rsidRPr="0016478E">
        <w:t xml:space="preserve">un champ de </w:t>
      </w:r>
      <w:r w:rsidR="00FB514C" w:rsidRPr="0016478E">
        <w:t>possibles</w:t>
      </w:r>
      <w:r w:rsidR="002A41CE" w:rsidRPr="0016478E">
        <w:t xml:space="preserve"> pour les bibliothèques publiques et leurs usagers empêchés de lire du fait d’un trouble </w:t>
      </w:r>
      <w:r w:rsidR="00FB514C" w:rsidRPr="0016478E">
        <w:t xml:space="preserve">cognitif </w:t>
      </w:r>
      <w:r w:rsidR="002A41CE" w:rsidRPr="0016478E">
        <w:t xml:space="preserve">ou d’un handicap : avec la mutualisation des documents numériques adaptés sur la </w:t>
      </w:r>
      <w:hyperlink r:id="rId9">
        <w:r w:rsidR="002A41CE" w:rsidRPr="0016478E">
          <w:rPr>
            <w:rStyle w:val="LienInternet"/>
          </w:rPr>
          <w:t>plateforme P</w:t>
        </w:r>
        <w:r w:rsidR="00700669" w:rsidRPr="0016478E">
          <w:rPr>
            <w:rStyle w:val="LienInternet"/>
          </w:rPr>
          <w:t>laton</w:t>
        </w:r>
      </w:hyperlink>
      <w:r w:rsidR="002A41CE" w:rsidRPr="0016478E">
        <w:t xml:space="preserve"> gérée par la Bibliothèque nationale de France (BnF), il permet </w:t>
      </w:r>
      <w:r w:rsidR="00CE46C9" w:rsidRPr="0016478E">
        <w:t>d’accroître</w:t>
      </w:r>
      <w:r w:rsidR="002A41CE" w:rsidRPr="0016478E">
        <w:t xml:space="preserve"> l’offre de lecture adaptée (livres </w:t>
      </w:r>
      <w:r w:rsidR="00FB514C" w:rsidRPr="0016478E">
        <w:t xml:space="preserve">au </w:t>
      </w:r>
      <w:r w:rsidR="002A41CE" w:rsidRPr="0016478E">
        <w:t xml:space="preserve">format Daisy, en </w:t>
      </w:r>
      <w:r w:rsidR="00DC600F" w:rsidRPr="0016478E">
        <w:t>EPUB</w:t>
      </w:r>
      <w:r w:rsidR="002A41CE" w:rsidRPr="0016478E">
        <w:t xml:space="preserve"> ou en braille numérique, vidéos en langue des signes française,</w:t>
      </w:r>
      <w:r w:rsidR="00FB514C" w:rsidRPr="0016478E">
        <w:t xml:space="preserve"> transcriptions en « facile à lire et à comprendre »,</w:t>
      </w:r>
      <w:r w:rsidR="002A41CE" w:rsidRPr="0016478E">
        <w:t xml:space="preserve"> etc.). Ce cadre juridique </w:t>
      </w:r>
      <w:r w:rsidR="00E3101C" w:rsidRPr="0016478E">
        <w:t xml:space="preserve">rénové </w:t>
      </w:r>
      <w:r w:rsidR="002A41CE" w:rsidRPr="0016478E">
        <w:t xml:space="preserve">permet </w:t>
      </w:r>
      <w:r w:rsidR="00CE46C9" w:rsidRPr="0016478E">
        <w:t>désormais</w:t>
      </w:r>
      <w:r w:rsidR="002A41CE" w:rsidRPr="0016478E">
        <w:t xml:space="preserve"> de répondre aux besoins de nouveaux publics, en particulier les publics porteurs de troubles de la lecture et des apprentissages (dyslexie, dyspraxie, dysphasie…).</w:t>
      </w:r>
    </w:p>
    <w:p w14:paraId="117F0A57" w14:textId="77777777" w:rsidR="0029286B" w:rsidRPr="0016478E" w:rsidRDefault="002A41CE" w:rsidP="00431915">
      <w:r w:rsidRPr="0016478E">
        <w:t>Toutefois, les documents adaptés étant produits et diffusés dans le cadre d’une exception au droit d’auteur, ils disposent d’un statut juridique particulier. Dès lors, leur diffusion en bibliothèque doit s’accompagner d’un ensemble de mesures que ce vade-mecum s’emploie à préciser.</w:t>
      </w:r>
    </w:p>
    <w:p w14:paraId="51BC5E7B" w14:textId="35144FB0" w:rsidR="00BB3438" w:rsidRPr="0016478E" w:rsidRDefault="002A41CE" w:rsidP="00431915">
      <w:r w:rsidRPr="0016478E">
        <w:t xml:space="preserve">L’expression « bibliothèques publiques » est ici le terme générique employé pour désigner </w:t>
      </w:r>
      <w:r w:rsidR="00C72638" w:rsidRPr="0016478E">
        <w:t xml:space="preserve">la Bibliothèque nationale de France (BnF), la Bibliothèque publique d’information (Bpi), les bibliothèques d’établissements publics (Universcience, Cité de l’architecture et du patrimoine…), </w:t>
      </w:r>
      <w:r w:rsidRPr="0016478E">
        <w:t>les bibliothèques relevant des collectivités territoriales</w:t>
      </w:r>
      <w:r w:rsidR="009979F5" w:rsidRPr="0016478E">
        <w:t xml:space="preserve">, </w:t>
      </w:r>
      <w:r w:rsidR="00C659FD" w:rsidRPr="0016478E">
        <w:t xml:space="preserve">ainsi que </w:t>
      </w:r>
      <w:r w:rsidRPr="0016478E">
        <w:t>les bibliothèques</w:t>
      </w:r>
      <w:r w:rsidR="00C659FD" w:rsidRPr="0016478E">
        <w:t xml:space="preserve"> scolaires,</w:t>
      </w:r>
      <w:r w:rsidRPr="0016478E">
        <w:t xml:space="preserve"> universitaires ou d’enseignement supérieur</w:t>
      </w:r>
      <w:r w:rsidR="00C659FD" w:rsidRPr="0016478E">
        <w:t>.</w:t>
      </w:r>
    </w:p>
    <w:p w14:paraId="4BC83714" w14:textId="77777777" w:rsidR="0016478E" w:rsidRPr="0016478E" w:rsidRDefault="0016478E" w:rsidP="00431915"/>
    <w:p w14:paraId="257A8E9A" w14:textId="140E2575" w:rsidR="0016478E" w:rsidRPr="0016478E" w:rsidRDefault="0016478E" w:rsidP="00431915">
      <w:pPr>
        <w:rPr>
          <w:b/>
          <w:bCs/>
        </w:rPr>
      </w:pPr>
      <w:r w:rsidRPr="0016478E">
        <w:rPr>
          <w:b/>
          <w:bCs/>
        </w:rPr>
        <w:t>Sommaire :</w:t>
      </w:r>
    </w:p>
    <w:p w14:paraId="4C2FB8B3" w14:textId="2E95C53A" w:rsidR="0016478E" w:rsidRPr="0016478E" w:rsidRDefault="0016478E">
      <w:pPr>
        <w:pStyle w:val="TM1"/>
        <w:tabs>
          <w:tab w:val="left" w:pos="440"/>
          <w:tab w:val="right" w:leader="dot" w:pos="9346"/>
        </w:tabs>
        <w:rPr>
          <w:noProof/>
        </w:rPr>
      </w:pPr>
      <w:r w:rsidRPr="0016478E">
        <w:fldChar w:fldCharType="begin"/>
      </w:r>
      <w:r w:rsidRPr="0016478E">
        <w:instrText xml:space="preserve"> TOC \o "1-1" \h \z \u </w:instrText>
      </w:r>
      <w:r w:rsidRPr="0016478E">
        <w:fldChar w:fldCharType="separate"/>
      </w:r>
      <w:hyperlink w:anchor="_Toc180589699" w:history="1">
        <w:r w:rsidRPr="0016478E">
          <w:rPr>
            <w:rStyle w:val="Lienhypertexte"/>
            <w:noProof/>
          </w:rPr>
          <w:t>I.</w:t>
        </w:r>
        <w:r w:rsidRPr="0016478E">
          <w:rPr>
            <w:noProof/>
          </w:rPr>
          <w:tab/>
        </w:r>
        <w:r w:rsidRPr="0016478E">
          <w:rPr>
            <w:rStyle w:val="Lienhypertexte"/>
            <w:noProof/>
          </w:rPr>
          <w:t>L’Exception au droit d’auteur en faveur des personnes handicapées</w:t>
        </w:r>
        <w:r w:rsidRPr="0016478E">
          <w:rPr>
            <w:noProof/>
            <w:webHidden/>
          </w:rPr>
          <w:tab/>
        </w:r>
        <w:r w:rsidRPr="0016478E">
          <w:rPr>
            <w:noProof/>
            <w:webHidden/>
          </w:rPr>
          <w:fldChar w:fldCharType="begin"/>
        </w:r>
        <w:r w:rsidRPr="0016478E">
          <w:rPr>
            <w:noProof/>
            <w:webHidden/>
          </w:rPr>
          <w:instrText xml:space="preserve"> PAGEREF _Toc180589699 \h </w:instrText>
        </w:r>
        <w:r w:rsidRPr="0016478E">
          <w:rPr>
            <w:noProof/>
            <w:webHidden/>
          </w:rPr>
        </w:r>
        <w:r w:rsidRPr="0016478E">
          <w:rPr>
            <w:noProof/>
            <w:webHidden/>
          </w:rPr>
          <w:fldChar w:fldCharType="separate"/>
        </w:r>
        <w:r w:rsidRPr="0016478E">
          <w:rPr>
            <w:noProof/>
            <w:webHidden/>
          </w:rPr>
          <w:t>2</w:t>
        </w:r>
        <w:r w:rsidRPr="0016478E">
          <w:rPr>
            <w:noProof/>
            <w:webHidden/>
          </w:rPr>
          <w:fldChar w:fldCharType="end"/>
        </w:r>
      </w:hyperlink>
    </w:p>
    <w:p w14:paraId="5DCD7761" w14:textId="66AF57CA" w:rsidR="0016478E" w:rsidRPr="0016478E" w:rsidRDefault="0016478E">
      <w:pPr>
        <w:pStyle w:val="TM1"/>
        <w:tabs>
          <w:tab w:val="left" w:pos="440"/>
          <w:tab w:val="right" w:leader="dot" w:pos="9346"/>
        </w:tabs>
        <w:rPr>
          <w:noProof/>
        </w:rPr>
      </w:pPr>
      <w:hyperlink w:anchor="_Toc180589700" w:history="1">
        <w:r w:rsidRPr="0016478E">
          <w:rPr>
            <w:rStyle w:val="Lienhypertexte"/>
            <w:noProof/>
          </w:rPr>
          <w:t>II.</w:t>
        </w:r>
        <w:r w:rsidRPr="0016478E">
          <w:rPr>
            <w:noProof/>
          </w:rPr>
          <w:tab/>
        </w:r>
        <w:r w:rsidRPr="0016478E">
          <w:rPr>
            <w:rStyle w:val="Lienhypertexte"/>
            <w:noProof/>
          </w:rPr>
          <w:t>L’identification des bénéficiaires et de leurs besoins</w:t>
        </w:r>
        <w:r w:rsidRPr="0016478E">
          <w:rPr>
            <w:noProof/>
            <w:webHidden/>
          </w:rPr>
          <w:tab/>
        </w:r>
        <w:r w:rsidRPr="0016478E">
          <w:rPr>
            <w:noProof/>
            <w:webHidden/>
          </w:rPr>
          <w:fldChar w:fldCharType="begin"/>
        </w:r>
        <w:r w:rsidRPr="0016478E">
          <w:rPr>
            <w:noProof/>
            <w:webHidden/>
          </w:rPr>
          <w:instrText xml:space="preserve"> PAGEREF _Toc180589700 \h </w:instrText>
        </w:r>
        <w:r w:rsidRPr="0016478E">
          <w:rPr>
            <w:noProof/>
            <w:webHidden/>
          </w:rPr>
        </w:r>
        <w:r w:rsidRPr="0016478E">
          <w:rPr>
            <w:noProof/>
            <w:webHidden/>
          </w:rPr>
          <w:fldChar w:fldCharType="separate"/>
        </w:r>
        <w:r w:rsidRPr="0016478E">
          <w:rPr>
            <w:noProof/>
            <w:webHidden/>
          </w:rPr>
          <w:t>3</w:t>
        </w:r>
        <w:r w:rsidRPr="0016478E">
          <w:rPr>
            <w:noProof/>
            <w:webHidden/>
          </w:rPr>
          <w:fldChar w:fldCharType="end"/>
        </w:r>
      </w:hyperlink>
    </w:p>
    <w:p w14:paraId="2E69A19A" w14:textId="13145FAC" w:rsidR="0016478E" w:rsidRPr="0016478E" w:rsidRDefault="0016478E">
      <w:pPr>
        <w:pStyle w:val="TM1"/>
        <w:tabs>
          <w:tab w:val="left" w:pos="660"/>
          <w:tab w:val="right" w:leader="dot" w:pos="9346"/>
        </w:tabs>
        <w:rPr>
          <w:noProof/>
        </w:rPr>
      </w:pPr>
      <w:hyperlink w:anchor="_Toc180589701" w:history="1">
        <w:r w:rsidRPr="0016478E">
          <w:rPr>
            <w:rStyle w:val="Lienhypertexte"/>
            <w:noProof/>
          </w:rPr>
          <w:t>III.</w:t>
        </w:r>
        <w:r w:rsidRPr="0016478E">
          <w:rPr>
            <w:noProof/>
          </w:rPr>
          <w:tab/>
        </w:r>
        <w:r w:rsidRPr="0016478E">
          <w:rPr>
            <w:rStyle w:val="Lienhypertexte"/>
            <w:noProof/>
          </w:rPr>
          <w:t>La sécurisation technique et informatique</w:t>
        </w:r>
        <w:r w:rsidRPr="0016478E">
          <w:rPr>
            <w:noProof/>
            <w:webHidden/>
          </w:rPr>
          <w:tab/>
        </w:r>
        <w:r w:rsidRPr="0016478E">
          <w:rPr>
            <w:noProof/>
            <w:webHidden/>
          </w:rPr>
          <w:fldChar w:fldCharType="begin"/>
        </w:r>
        <w:r w:rsidRPr="0016478E">
          <w:rPr>
            <w:noProof/>
            <w:webHidden/>
          </w:rPr>
          <w:instrText xml:space="preserve"> PAGEREF _Toc180589701 \h </w:instrText>
        </w:r>
        <w:r w:rsidRPr="0016478E">
          <w:rPr>
            <w:noProof/>
            <w:webHidden/>
          </w:rPr>
        </w:r>
        <w:r w:rsidRPr="0016478E">
          <w:rPr>
            <w:noProof/>
            <w:webHidden/>
          </w:rPr>
          <w:fldChar w:fldCharType="separate"/>
        </w:r>
        <w:r w:rsidRPr="0016478E">
          <w:rPr>
            <w:noProof/>
            <w:webHidden/>
          </w:rPr>
          <w:t>5</w:t>
        </w:r>
        <w:r w:rsidRPr="0016478E">
          <w:rPr>
            <w:noProof/>
            <w:webHidden/>
          </w:rPr>
          <w:fldChar w:fldCharType="end"/>
        </w:r>
      </w:hyperlink>
    </w:p>
    <w:p w14:paraId="256950DC" w14:textId="6E8E1D00" w:rsidR="0016478E" w:rsidRPr="0016478E" w:rsidRDefault="0016478E">
      <w:pPr>
        <w:pStyle w:val="TM1"/>
        <w:tabs>
          <w:tab w:val="left" w:pos="440"/>
          <w:tab w:val="right" w:leader="dot" w:pos="9346"/>
        </w:tabs>
        <w:rPr>
          <w:noProof/>
        </w:rPr>
      </w:pPr>
      <w:hyperlink w:anchor="_Toc180589702" w:history="1">
        <w:r w:rsidRPr="0016478E">
          <w:rPr>
            <w:rStyle w:val="Lienhypertexte"/>
            <w:noProof/>
          </w:rPr>
          <w:t>IV.</w:t>
        </w:r>
        <w:r w:rsidRPr="0016478E">
          <w:rPr>
            <w:noProof/>
          </w:rPr>
          <w:tab/>
        </w:r>
        <w:r w:rsidRPr="0016478E">
          <w:rPr>
            <w:rStyle w:val="Lienhypertexte"/>
            <w:noProof/>
          </w:rPr>
          <w:t>Les partenariats</w:t>
        </w:r>
        <w:r w:rsidRPr="0016478E">
          <w:rPr>
            <w:noProof/>
            <w:webHidden/>
          </w:rPr>
          <w:tab/>
        </w:r>
        <w:r w:rsidRPr="0016478E">
          <w:rPr>
            <w:noProof/>
            <w:webHidden/>
          </w:rPr>
          <w:fldChar w:fldCharType="begin"/>
        </w:r>
        <w:r w:rsidRPr="0016478E">
          <w:rPr>
            <w:noProof/>
            <w:webHidden/>
          </w:rPr>
          <w:instrText xml:space="preserve"> PAGEREF _Toc180589702 \h </w:instrText>
        </w:r>
        <w:r w:rsidRPr="0016478E">
          <w:rPr>
            <w:noProof/>
            <w:webHidden/>
          </w:rPr>
        </w:r>
        <w:r w:rsidRPr="0016478E">
          <w:rPr>
            <w:noProof/>
            <w:webHidden/>
          </w:rPr>
          <w:fldChar w:fldCharType="separate"/>
        </w:r>
        <w:r w:rsidRPr="0016478E">
          <w:rPr>
            <w:noProof/>
            <w:webHidden/>
          </w:rPr>
          <w:t>7</w:t>
        </w:r>
        <w:r w:rsidRPr="0016478E">
          <w:rPr>
            <w:noProof/>
            <w:webHidden/>
          </w:rPr>
          <w:fldChar w:fldCharType="end"/>
        </w:r>
      </w:hyperlink>
    </w:p>
    <w:p w14:paraId="544FDF70" w14:textId="2335DE70" w:rsidR="0016478E" w:rsidRPr="0016478E" w:rsidRDefault="0016478E">
      <w:pPr>
        <w:pStyle w:val="TM1"/>
        <w:tabs>
          <w:tab w:val="left" w:pos="440"/>
          <w:tab w:val="right" w:leader="dot" w:pos="9346"/>
        </w:tabs>
        <w:rPr>
          <w:noProof/>
        </w:rPr>
      </w:pPr>
      <w:hyperlink w:anchor="_Toc180589703" w:history="1">
        <w:r w:rsidRPr="0016478E">
          <w:rPr>
            <w:rStyle w:val="Lienhypertexte"/>
            <w:noProof/>
          </w:rPr>
          <w:t>V.</w:t>
        </w:r>
        <w:r w:rsidRPr="0016478E">
          <w:rPr>
            <w:noProof/>
          </w:rPr>
          <w:tab/>
        </w:r>
        <w:r w:rsidRPr="0016478E">
          <w:rPr>
            <w:rStyle w:val="Lienhypertexte"/>
            <w:noProof/>
          </w:rPr>
          <w:t>Les soutiens financiers ou institutionnels</w:t>
        </w:r>
        <w:r w:rsidRPr="0016478E">
          <w:rPr>
            <w:noProof/>
            <w:webHidden/>
          </w:rPr>
          <w:tab/>
        </w:r>
        <w:r w:rsidRPr="0016478E">
          <w:rPr>
            <w:noProof/>
            <w:webHidden/>
          </w:rPr>
          <w:fldChar w:fldCharType="begin"/>
        </w:r>
        <w:r w:rsidRPr="0016478E">
          <w:rPr>
            <w:noProof/>
            <w:webHidden/>
          </w:rPr>
          <w:instrText xml:space="preserve"> PAGEREF _Toc180589703 \h </w:instrText>
        </w:r>
        <w:r w:rsidRPr="0016478E">
          <w:rPr>
            <w:noProof/>
            <w:webHidden/>
          </w:rPr>
        </w:r>
        <w:r w:rsidRPr="0016478E">
          <w:rPr>
            <w:noProof/>
            <w:webHidden/>
          </w:rPr>
          <w:fldChar w:fldCharType="separate"/>
        </w:r>
        <w:r w:rsidRPr="0016478E">
          <w:rPr>
            <w:noProof/>
            <w:webHidden/>
          </w:rPr>
          <w:t>7</w:t>
        </w:r>
        <w:r w:rsidRPr="0016478E">
          <w:rPr>
            <w:noProof/>
            <w:webHidden/>
          </w:rPr>
          <w:fldChar w:fldCharType="end"/>
        </w:r>
      </w:hyperlink>
    </w:p>
    <w:p w14:paraId="173BAB86" w14:textId="63EF4833" w:rsidR="0016478E" w:rsidRPr="0016478E" w:rsidRDefault="0016478E">
      <w:pPr>
        <w:pStyle w:val="TM1"/>
        <w:tabs>
          <w:tab w:val="left" w:pos="660"/>
          <w:tab w:val="right" w:leader="dot" w:pos="9346"/>
        </w:tabs>
        <w:rPr>
          <w:noProof/>
        </w:rPr>
      </w:pPr>
      <w:hyperlink w:anchor="_Toc180589704" w:history="1">
        <w:r w:rsidRPr="0016478E">
          <w:rPr>
            <w:rStyle w:val="Lienhypertexte"/>
            <w:noProof/>
          </w:rPr>
          <w:t>VI.</w:t>
        </w:r>
        <w:r w:rsidRPr="0016478E">
          <w:rPr>
            <w:noProof/>
          </w:rPr>
          <w:tab/>
        </w:r>
        <w:r w:rsidRPr="0016478E">
          <w:rPr>
            <w:rStyle w:val="Lienhypertexte"/>
            <w:noProof/>
          </w:rPr>
          <w:t>Déposer une demande d’habilitation</w:t>
        </w:r>
        <w:r w:rsidRPr="0016478E">
          <w:rPr>
            <w:noProof/>
            <w:webHidden/>
          </w:rPr>
          <w:tab/>
        </w:r>
        <w:r w:rsidRPr="0016478E">
          <w:rPr>
            <w:noProof/>
            <w:webHidden/>
          </w:rPr>
          <w:fldChar w:fldCharType="begin"/>
        </w:r>
        <w:r w:rsidRPr="0016478E">
          <w:rPr>
            <w:noProof/>
            <w:webHidden/>
          </w:rPr>
          <w:instrText xml:space="preserve"> PAGEREF _Toc180589704 \h </w:instrText>
        </w:r>
        <w:r w:rsidRPr="0016478E">
          <w:rPr>
            <w:noProof/>
            <w:webHidden/>
          </w:rPr>
        </w:r>
        <w:r w:rsidRPr="0016478E">
          <w:rPr>
            <w:noProof/>
            <w:webHidden/>
          </w:rPr>
          <w:fldChar w:fldCharType="separate"/>
        </w:r>
        <w:r w:rsidRPr="0016478E">
          <w:rPr>
            <w:noProof/>
            <w:webHidden/>
          </w:rPr>
          <w:t>7</w:t>
        </w:r>
        <w:r w:rsidRPr="0016478E">
          <w:rPr>
            <w:noProof/>
            <w:webHidden/>
          </w:rPr>
          <w:fldChar w:fldCharType="end"/>
        </w:r>
      </w:hyperlink>
    </w:p>
    <w:p w14:paraId="672FF35E" w14:textId="371D2D70" w:rsidR="0016478E" w:rsidRPr="0016478E" w:rsidRDefault="0016478E">
      <w:pPr>
        <w:pStyle w:val="TM1"/>
        <w:tabs>
          <w:tab w:val="right" w:leader="dot" w:pos="9346"/>
        </w:tabs>
        <w:rPr>
          <w:noProof/>
        </w:rPr>
      </w:pPr>
      <w:hyperlink w:anchor="_Toc180589705" w:history="1">
        <w:r w:rsidRPr="0016478E">
          <w:rPr>
            <w:rStyle w:val="Lienhypertexte"/>
            <w:noProof/>
          </w:rPr>
          <w:t>Annexe I : Modèle de charte d’engagement de l’usager (cas général)</w:t>
        </w:r>
        <w:r w:rsidRPr="0016478E">
          <w:rPr>
            <w:noProof/>
            <w:webHidden/>
          </w:rPr>
          <w:tab/>
        </w:r>
        <w:r w:rsidRPr="0016478E">
          <w:rPr>
            <w:noProof/>
            <w:webHidden/>
          </w:rPr>
          <w:fldChar w:fldCharType="begin"/>
        </w:r>
        <w:r w:rsidRPr="0016478E">
          <w:rPr>
            <w:noProof/>
            <w:webHidden/>
          </w:rPr>
          <w:instrText xml:space="preserve"> PAGEREF _Toc180589705 \h </w:instrText>
        </w:r>
        <w:r w:rsidRPr="0016478E">
          <w:rPr>
            <w:noProof/>
            <w:webHidden/>
          </w:rPr>
        </w:r>
        <w:r w:rsidRPr="0016478E">
          <w:rPr>
            <w:noProof/>
            <w:webHidden/>
          </w:rPr>
          <w:fldChar w:fldCharType="separate"/>
        </w:r>
        <w:r w:rsidRPr="0016478E">
          <w:rPr>
            <w:noProof/>
            <w:webHidden/>
          </w:rPr>
          <w:t>8</w:t>
        </w:r>
        <w:r w:rsidRPr="0016478E">
          <w:rPr>
            <w:noProof/>
            <w:webHidden/>
          </w:rPr>
          <w:fldChar w:fldCharType="end"/>
        </w:r>
      </w:hyperlink>
    </w:p>
    <w:p w14:paraId="35984620" w14:textId="2F36BD16" w:rsidR="0016478E" w:rsidRPr="0016478E" w:rsidRDefault="0016478E">
      <w:pPr>
        <w:pStyle w:val="TM1"/>
        <w:tabs>
          <w:tab w:val="right" w:leader="dot" w:pos="9346"/>
        </w:tabs>
        <w:rPr>
          <w:noProof/>
        </w:rPr>
      </w:pPr>
      <w:hyperlink w:anchor="_Toc180589706" w:history="1">
        <w:r w:rsidRPr="0016478E">
          <w:rPr>
            <w:rStyle w:val="Lienhypertexte"/>
            <w:noProof/>
          </w:rPr>
          <w:t>Annexe II : modèle de charte d’engagement de l’usager (version FALC)</w:t>
        </w:r>
        <w:r w:rsidRPr="0016478E">
          <w:rPr>
            <w:noProof/>
            <w:webHidden/>
          </w:rPr>
          <w:tab/>
        </w:r>
        <w:r w:rsidRPr="0016478E">
          <w:rPr>
            <w:noProof/>
            <w:webHidden/>
          </w:rPr>
          <w:fldChar w:fldCharType="begin"/>
        </w:r>
        <w:r w:rsidRPr="0016478E">
          <w:rPr>
            <w:noProof/>
            <w:webHidden/>
          </w:rPr>
          <w:instrText xml:space="preserve"> PAGEREF _Toc180589706 \h </w:instrText>
        </w:r>
        <w:r w:rsidRPr="0016478E">
          <w:rPr>
            <w:noProof/>
            <w:webHidden/>
          </w:rPr>
        </w:r>
        <w:r w:rsidRPr="0016478E">
          <w:rPr>
            <w:noProof/>
            <w:webHidden/>
          </w:rPr>
          <w:fldChar w:fldCharType="separate"/>
        </w:r>
        <w:r w:rsidRPr="0016478E">
          <w:rPr>
            <w:noProof/>
            <w:webHidden/>
          </w:rPr>
          <w:t>10</w:t>
        </w:r>
        <w:r w:rsidRPr="0016478E">
          <w:rPr>
            <w:noProof/>
            <w:webHidden/>
          </w:rPr>
          <w:fldChar w:fldCharType="end"/>
        </w:r>
      </w:hyperlink>
    </w:p>
    <w:p w14:paraId="2DC6FF76" w14:textId="4368B699" w:rsidR="0016478E" w:rsidRPr="0016478E" w:rsidRDefault="0016478E">
      <w:pPr>
        <w:pStyle w:val="TM1"/>
        <w:tabs>
          <w:tab w:val="right" w:leader="dot" w:pos="9346"/>
        </w:tabs>
        <w:rPr>
          <w:noProof/>
        </w:rPr>
      </w:pPr>
      <w:hyperlink w:anchor="_Toc180589707" w:history="1">
        <w:r w:rsidRPr="0016478E">
          <w:rPr>
            <w:rStyle w:val="Lienhypertexte"/>
            <w:noProof/>
          </w:rPr>
          <w:t>Annexe III : modèle de Déclaration sur l'honneur</w:t>
        </w:r>
        <w:r w:rsidRPr="0016478E">
          <w:rPr>
            <w:noProof/>
            <w:webHidden/>
          </w:rPr>
          <w:tab/>
        </w:r>
        <w:r w:rsidRPr="0016478E">
          <w:rPr>
            <w:noProof/>
            <w:webHidden/>
          </w:rPr>
          <w:fldChar w:fldCharType="begin"/>
        </w:r>
        <w:r w:rsidRPr="0016478E">
          <w:rPr>
            <w:noProof/>
            <w:webHidden/>
          </w:rPr>
          <w:instrText xml:space="preserve"> PAGEREF _Toc180589707 \h </w:instrText>
        </w:r>
        <w:r w:rsidRPr="0016478E">
          <w:rPr>
            <w:noProof/>
            <w:webHidden/>
          </w:rPr>
        </w:r>
        <w:r w:rsidRPr="0016478E">
          <w:rPr>
            <w:noProof/>
            <w:webHidden/>
          </w:rPr>
          <w:fldChar w:fldCharType="separate"/>
        </w:r>
        <w:r w:rsidRPr="0016478E">
          <w:rPr>
            <w:noProof/>
            <w:webHidden/>
          </w:rPr>
          <w:t>12</w:t>
        </w:r>
        <w:r w:rsidRPr="0016478E">
          <w:rPr>
            <w:noProof/>
            <w:webHidden/>
          </w:rPr>
          <w:fldChar w:fldCharType="end"/>
        </w:r>
      </w:hyperlink>
    </w:p>
    <w:p w14:paraId="09F2F8BA" w14:textId="4643106F" w:rsidR="0016478E" w:rsidRPr="0016478E" w:rsidRDefault="0016478E" w:rsidP="00431915">
      <w:r w:rsidRPr="0016478E">
        <w:fldChar w:fldCharType="end"/>
      </w:r>
    </w:p>
    <w:p w14:paraId="6741F46B" w14:textId="77777777" w:rsidR="00BB3438" w:rsidRPr="0016478E" w:rsidRDefault="00BB3438">
      <w:pPr>
        <w:spacing w:after="0" w:line="240" w:lineRule="auto"/>
        <w:jc w:val="left"/>
      </w:pPr>
      <w:r w:rsidRPr="0016478E">
        <w:br w:type="page"/>
      </w:r>
    </w:p>
    <w:p w14:paraId="42817B56" w14:textId="0098AE71" w:rsidR="0029286B" w:rsidRPr="0016478E" w:rsidRDefault="002A41CE" w:rsidP="00431915">
      <w:pPr>
        <w:pStyle w:val="Titre1"/>
        <w:numPr>
          <w:ilvl w:val="0"/>
          <w:numId w:val="9"/>
        </w:numPr>
      </w:pPr>
      <w:bookmarkStart w:id="0" w:name="_Toc180589699"/>
      <w:r w:rsidRPr="0016478E">
        <w:lastRenderedPageBreak/>
        <w:t>L’</w:t>
      </w:r>
      <w:r w:rsidR="00F67339" w:rsidRPr="0016478E">
        <w:t>Exception au droit d’auteur en faveur des personnes handicapées</w:t>
      </w:r>
      <w:bookmarkEnd w:id="0"/>
    </w:p>
    <w:p w14:paraId="7C65663C" w14:textId="77777777" w:rsidR="0029286B" w:rsidRPr="0016478E" w:rsidRDefault="002A41CE" w:rsidP="00431915">
      <w:r w:rsidRPr="0016478E">
        <w:t>Le droit d’auteur, protégé au titre du code de la propriété intellectuelle, garantit à l’auteur d’une œuvre et ses ayants droit la maîtrise exclusive de la diffusion de ses œuvres. Toute représentation ou reproduction intégrale ou partielle faite sans le consentement de l'auteur ou de ses ayants droit ou ayants cause est alors illicite. Ce droit contribue à garantir la liberté, la diversité et la pérennité de la création artistique.</w:t>
      </w:r>
    </w:p>
    <w:p w14:paraId="590FFD63" w14:textId="17BBC4E1" w:rsidR="0029286B" w:rsidRPr="0016478E" w:rsidRDefault="002A41CE" w:rsidP="00431915">
      <w:r w:rsidRPr="0016478E">
        <w:t xml:space="preserve">Le code de la propriété intellectuelle prévoit cependant à ses articles </w:t>
      </w:r>
      <w:hyperlink r:id="rId10">
        <w:r w:rsidRPr="0016478E">
          <w:rPr>
            <w:rStyle w:val="LienInternet"/>
          </w:rPr>
          <w:t>L. 122-5</w:t>
        </w:r>
      </w:hyperlink>
      <w:r w:rsidRPr="0016478E">
        <w:rPr>
          <w:rStyle w:val="LienInternet"/>
        </w:rPr>
        <w:t>,</w:t>
      </w:r>
      <w:r w:rsidRPr="0016478E">
        <w:t xml:space="preserve"> </w:t>
      </w:r>
      <w:hyperlink r:id="rId11">
        <w:r w:rsidRPr="0016478E">
          <w:rPr>
            <w:rStyle w:val="LienInternet"/>
          </w:rPr>
          <w:t>L. 122-5-1</w:t>
        </w:r>
      </w:hyperlink>
      <w:r w:rsidRPr="0016478E">
        <w:t xml:space="preserve">, </w:t>
      </w:r>
      <w:hyperlink r:id="rId12">
        <w:r w:rsidRPr="0016478E">
          <w:rPr>
            <w:rStyle w:val="LienInternet"/>
          </w:rPr>
          <w:t>L. 122-5-2</w:t>
        </w:r>
      </w:hyperlink>
      <w:r w:rsidRPr="0016478E">
        <w:t xml:space="preserve">  </w:t>
      </w:r>
      <w:r w:rsidR="00597384" w:rsidRPr="0016478E">
        <w:t xml:space="preserve">et </w:t>
      </w:r>
      <w:hyperlink r:id="rId13" w:history="1">
        <w:r w:rsidR="00597384" w:rsidRPr="0016478E">
          <w:rPr>
            <w:rStyle w:val="Lienhypertexte"/>
          </w:rPr>
          <w:t>R. 122-13 à 22</w:t>
        </w:r>
      </w:hyperlink>
      <w:r w:rsidR="00597384" w:rsidRPr="0016478E">
        <w:t xml:space="preserve"> </w:t>
      </w:r>
      <w:r w:rsidRPr="0016478E">
        <w:t>une exception au droit d’auteur en faveur des personnes en situation de handicap. Cette exception permet à des organismes à but non lucratif de réaliser et de communiquer aux personnes empêchées de lire du fait d’un handicap, des versions adaptées d’œuvres protégées par le droit d’auteur sans autorisation préalable auprès des titulaires des droits d’auteur ni contrepartie financière.</w:t>
      </w:r>
    </w:p>
    <w:p w14:paraId="5578A6E4" w14:textId="77777777" w:rsidR="0029286B" w:rsidRPr="0016478E" w:rsidRDefault="002A41CE" w:rsidP="00431915">
      <w:r w:rsidRPr="0016478E">
        <w:t>La consultation de ces documents adaptés est strictement personnelle et réservée aux personnes empêchées de lire du fait d’un handicap.</w:t>
      </w:r>
    </w:p>
    <w:p w14:paraId="10A75033" w14:textId="77777777" w:rsidR="0029286B" w:rsidRPr="0016478E" w:rsidRDefault="002A41CE" w:rsidP="008812ED">
      <w:pPr>
        <w:pStyle w:val="Titre2"/>
        <w:numPr>
          <w:ilvl w:val="1"/>
          <w:numId w:val="10"/>
        </w:numPr>
      </w:pPr>
      <w:r w:rsidRPr="0016478E">
        <w:t>Quelles sont les principales dispositions de l’Exception handicap ?</w:t>
      </w:r>
    </w:p>
    <w:p w14:paraId="7DBC600F" w14:textId="6DE87DA0" w:rsidR="0029286B" w:rsidRPr="0016478E" w:rsidRDefault="002A41CE" w:rsidP="00431915">
      <w:r w:rsidRPr="0016478E">
        <w:t>Le dispositif de l’</w:t>
      </w:r>
      <w:r w:rsidR="00F67339" w:rsidRPr="0016478E">
        <w:t>Exception au droit d’auteur en faveur des personnes handicapées</w:t>
      </w:r>
      <w:r w:rsidRPr="0016478E">
        <w:t xml:space="preserve"> et ses conditions de mise en œuvre ont été révisés par l’</w:t>
      </w:r>
      <w:r w:rsidRPr="0016478E">
        <w:rPr>
          <w:rStyle w:val="st"/>
        </w:rPr>
        <w:t>article 33 de la loi du 7 juillet 2016 relative à la liberté de la création, à l'architecture et au patrimoine et son décret d’application du 27 février 2017.</w:t>
      </w:r>
    </w:p>
    <w:p w14:paraId="3EBE0DBE" w14:textId="77777777" w:rsidR="0029286B" w:rsidRPr="0016478E" w:rsidRDefault="002A41CE" w:rsidP="00431915">
      <w:r w:rsidRPr="0016478E">
        <w:rPr>
          <w:rStyle w:val="st"/>
        </w:rPr>
        <w:t>Les principales dispositions sont les suivantes :</w:t>
      </w:r>
    </w:p>
    <w:p w14:paraId="1C221A40" w14:textId="0BA60459" w:rsidR="0029286B" w:rsidRPr="0016478E" w:rsidRDefault="002A41CE" w:rsidP="00431915">
      <w:pPr>
        <w:pStyle w:val="Paragraphedeliste"/>
        <w:numPr>
          <w:ilvl w:val="0"/>
          <w:numId w:val="8"/>
        </w:numPr>
      </w:pPr>
      <w:r w:rsidRPr="0016478E">
        <w:t xml:space="preserve">La </w:t>
      </w:r>
      <w:r w:rsidRPr="0016478E">
        <w:rPr>
          <w:b/>
        </w:rPr>
        <w:t>vérification de la qualité des bénéficiaires</w:t>
      </w:r>
      <w:r w:rsidRPr="0016478E">
        <w:t xml:space="preserve"> </w:t>
      </w:r>
      <w:r w:rsidR="00AF6F80" w:rsidRPr="0016478E">
        <w:t xml:space="preserve">est une responsabilité qui </w:t>
      </w:r>
      <w:r w:rsidRPr="0016478E">
        <w:t>repose désormais sur les organismes habilités ;</w:t>
      </w:r>
    </w:p>
    <w:p w14:paraId="04A8BE52" w14:textId="090AD0D2" w:rsidR="00210CD2" w:rsidRPr="0016478E" w:rsidRDefault="002A41CE" w:rsidP="005A4DF7">
      <w:pPr>
        <w:pStyle w:val="Paragraphedeliste"/>
        <w:numPr>
          <w:ilvl w:val="0"/>
          <w:numId w:val="8"/>
        </w:numPr>
      </w:pPr>
      <w:r w:rsidRPr="0016478E">
        <w:t xml:space="preserve">La </w:t>
      </w:r>
      <w:r w:rsidRPr="0016478E">
        <w:rPr>
          <w:b/>
        </w:rPr>
        <w:t>mutualisation des documents numériques adaptés sur la plateforme P</w:t>
      </w:r>
      <w:r w:rsidR="00700669" w:rsidRPr="0016478E">
        <w:rPr>
          <w:b/>
        </w:rPr>
        <w:t>laton</w:t>
      </w:r>
      <w:r w:rsidRPr="0016478E">
        <w:rPr>
          <w:b/>
        </w:rPr>
        <w:t xml:space="preserve"> de la BnF</w:t>
      </w:r>
      <w:r w:rsidRPr="0016478E">
        <w:t xml:space="preserve"> : documents en formats Daisy, </w:t>
      </w:r>
      <w:r w:rsidR="00493A2C" w:rsidRPr="0016478E">
        <w:t>EPUB</w:t>
      </w:r>
      <w:r w:rsidRPr="0016478E">
        <w:t xml:space="preserve">, </w:t>
      </w:r>
      <w:r w:rsidR="00BC0D48" w:rsidRPr="0016478E">
        <w:t>XML</w:t>
      </w:r>
      <w:r w:rsidRPr="0016478E">
        <w:t> ; documents PDF ; vidéos en langue des signes française (LSF).</w:t>
      </w:r>
    </w:p>
    <w:p w14:paraId="6F047166" w14:textId="08135CF6" w:rsidR="0029286B" w:rsidRPr="0016478E" w:rsidRDefault="002A41CE" w:rsidP="005A4DF7">
      <w:pPr>
        <w:pStyle w:val="Paragraphedeliste"/>
        <w:numPr>
          <w:ilvl w:val="0"/>
          <w:numId w:val="8"/>
        </w:numPr>
      </w:pPr>
      <w:r w:rsidRPr="0016478E">
        <w:t xml:space="preserve">Un </w:t>
      </w:r>
      <w:r w:rsidRPr="0016478E">
        <w:rPr>
          <w:b/>
        </w:rPr>
        <w:t>délai raccourci à 45 jours</w:t>
      </w:r>
      <w:r w:rsidRPr="0016478E">
        <w:t xml:space="preserve"> (au lieu de 2 mois</w:t>
      </w:r>
      <w:r w:rsidR="00EE0F56" w:rsidRPr="0016478E">
        <w:t xml:space="preserve"> auparavant</w:t>
      </w:r>
      <w:r w:rsidRPr="0016478E">
        <w:t xml:space="preserve">) pour le dépôt des fichiers source des éditeurs sur </w:t>
      </w:r>
      <w:r w:rsidR="00700669" w:rsidRPr="0016478E">
        <w:t>Platon</w:t>
      </w:r>
      <w:r w:rsidRPr="0016478E">
        <w:t>.</w:t>
      </w:r>
    </w:p>
    <w:p w14:paraId="187F45DA" w14:textId="143BB706" w:rsidR="0029286B" w:rsidRPr="0016478E" w:rsidRDefault="002A41CE" w:rsidP="00431915">
      <w:pPr>
        <w:pStyle w:val="Paragraphedeliste"/>
        <w:numPr>
          <w:ilvl w:val="0"/>
          <w:numId w:val="8"/>
        </w:numPr>
      </w:pPr>
      <w:r w:rsidRPr="0016478E">
        <w:t>Le dépôt systématique par les éditeurs sur P</w:t>
      </w:r>
      <w:r w:rsidR="00700669" w:rsidRPr="0016478E">
        <w:t xml:space="preserve">laton </w:t>
      </w:r>
      <w:r w:rsidRPr="0016478E">
        <w:t xml:space="preserve">des fichiers numériques de </w:t>
      </w:r>
      <w:r w:rsidRPr="0016478E">
        <w:rPr>
          <w:b/>
        </w:rPr>
        <w:t>livres scolaires</w:t>
      </w:r>
      <w:r w:rsidRPr="0016478E">
        <w:t>, dès leur parution.</w:t>
      </w:r>
    </w:p>
    <w:p w14:paraId="65A76FF8" w14:textId="77777777" w:rsidR="0029286B" w:rsidRPr="0016478E" w:rsidRDefault="002A41CE" w:rsidP="008812ED">
      <w:pPr>
        <w:pStyle w:val="Titre2"/>
        <w:numPr>
          <w:ilvl w:val="1"/>
          <w:numId w:val="10"/>
        </w:numPr>
      </w:pPr>
      <w:r w:rsidRPr="0016478E">
        <w:t>Les niveaux d’habilitation</w:t>
      </w:r>
    </w:p>
    <w:p w14:paraId="637F6AA3" w14:textId="448AC112" w:rsidR="0029286B" w:rsidRPr="0016478E" w:rsidRDefault="002A41CE" w:rsidP="00431915">
      <w:r w:rsidRPr="0016478E">
        <w:t xml:space="preserve">Les bibliothèques qui souhaiteraient faire une </w:t>
      </w:r>
      <w:hyperlink r:id="rId14">
        <w:r w:rsidRPr="0016478E">
          <w:rPr>
            <w:rStyle w:val="LienInternet"/>
          </w:rPr>
          <w:t>demande d’habilitation</w:t>
        </w:r>
      </w:hyperlink>
      <w:r w:rsidRPr="0016478E">
        <w:t xml:space="preserve"> doivent déposer un dossier pour chaque niveau (voir </w:t>
      </w:r>
      <w:r w:rsidR="00B82D75" w:rsidRPr="0016478E">
        <w:t>paragraphes suivants</w:t>
      </w:r>
      <w:r w:rsidRPr="0016478E">
        <w:t>). Les demandes sont instruites par la commission Exception handicap, composée à parts égales de représentants des ayants droit et de représen</w:t>
      </w:r>
      <w:r w:rsidR="003F15DF" w:rsidRPr="0016478E">
        <w:t xml:space="preserve">tants des personnes handicapées. Cette commission </w:t>
      </w:r>
      <w:r w:rsidRPr="0016478E">
        <w:t xml:space="preserve">œuvre sous la double tutelle des ministres en charge de la Culture et des </w:t>
      </w:r>
      <w:r w:rsidR="003F15DF" w:rsidRPr="0016478E">
        <w:t>personnes handicapées</w:t>
      </w:r>
      <w:r w:rsidRPr="0016478E">
        <w:t xml:space="preserve">. La commission se réunit </w:t>
      </w:r>
      <w:r w:rsidR="003F15DF" w:rsidRPr="0016478E">
        <w:t xml:space="preserve">environ </w:t>
      </w:r>
      <w:r w:rsidRPr="0016478E">
        <w:t>trois fois par an et émet un avis sur chacun des dossiers avec publication, le cas échéant, d’un arrêté interministériel.</w:t>
      </w:r>
    </w:p>
    <w:p w14:paraId="2A2ADE7C" w14:textId="29EF7249" w:rsidR="0029286B" w:rsidRPr="0016478E" w:rsidRDefault="002A41CE" w:rsidP="00431915">
      <w:r w:rsidRPr="0016478E">
        <w:rPr>
          <w:b/>
        </w:rPr>
        <w:t>L’inscription</w:t>
      </w:r>
      <w:r w:rsidRPr="0016478E">
        <w:t xml:space="preserve"> (ancien agrément de niveau 1) </w:t>
      </w:r>
      <w:r w:rsidR="003F15DF" w:rsidRPr="0016478E">
        <w:t xml:space="preserve">donne un cadre juridique sécurisé aux organismes qui réalisent ou diffusent de l’édition adaptée. Cette inscription </w:t>
      </w:r>
      <w:r w:rsidRPr="0016478E">
        <w:t xml:space="preserve">autorise la bibliothèque à communiquer et à adapter des œuvres sous droit, et donne un accès aux fichiers numériques adaptés stockés sur la </w:t>
      </w:r>
      <w:hyperlink r:id="rId15">
        <w:r w:rsidRPr="0016478E">
          <w:rPr>
            <w:rStyle w:val="LienInternet"/>
          </w:rPr>
          <w:t>plateforme Platon</w:t>
        </w:r>
      </w:hyperlink>
      <w:r w:rsidRPr="0016478E">
        <w:t>.</w:t>
      </w:r>
    </w:p>
    <w:p w14:paraId="49A60AC5" w14:textId="74E14BCB" w:rsidR="0029286B" w:rsidRPr="0016478E" w:rsidRDefault="002A41CE" w:rsidP="00431915">
      <w:r w:rsidRPr="0016478E">
        <w:rPr>
          <w:b/>
        </w:rPr>
        <w:t>L’agrément</w:t>
      </w:r>
      <w:r w:rsidRPr="0016478E">
        <w:t xml:space="preserve"> (ancien agrément de niveau 2) est accordé à condition d’être déjà inscrit</w:t>
      </w:r>
      <w:r w:rsidR="003F15DF" w:rsidRPr="0016478E">
        <w:t xml:space="preserve"> sur la liste des organismes habilités</w:t>
      </w:r>
      <w:r w:rsidRPr="0016478E">
        <w:t xml:space="preserve">. L’agrément n’est utile que si la bibliothèque produit fréquemment des documents adaptés. Il permet d’obtenir d’un éditeur commercial les fichiers numériques </w:t>
      </w:r>
      <w:r w:rsidR="003F15DF" w:rsidRPr="0016478E">
        <w:t xml:space="preserve">ayant servi à l’impression de ses ouvrages, </w:t>
      </w:r>
      <w:r w:rsidRPr="0016478E">
        <w:t xml:space="preserve">afin de pouvoir les adapter plus </w:t>
      </w:r>
      <w:r w:rsidR="003F15DF" w:rsidRPr="0016478E">
        <w:t>rapidement et plus facilement</w:t>
      </w:r>
      <w:r w:rsidRPr="0016478E">
        <w:t>.</w:t>
      </w:r>
    </w:p>
    <w:p w14:paraId="23E1B2DE" w14:textId="77777777" w:rsidR="0029286B" w:rsidRPr="0016478E" w:rsidRDefault="002A41CE" w:rsidP="00431915">
      <w:pPr>
        <w:pStyle w:val="Titre1"/>
        <w:numPr>
          <w:ilvl w:val="0"/>
          <w:numId w:val="10"/>
        </w:numPr>
      </w:pPr>
      <w:bookmarkStart w:id="1" w:name="_Toc180589700"/>
      <w:r w:rsidRPr="0016478E">
        <w:lastRenderedPageBreak/>
        <w:t>L’identification des bénéficiaires et de leurs besoins</w:t>
      </w:r>
      <w:bookmarkEnd w:id="1"/>
    </w:p>
    <w:p w14:paraId="2497B0AA" w14:textId="77777777" w:rsidR="0029286B" w:rsidRPr="0016478E" w:rsidRDefault="002A41CE" w:rsidP="008812ED">
      <w:pPr>
        <w:pStyle w:val="Titre2"/>
        <w:numPr>
          <w:ilvl w:val="1"/>
          <w:numId w:val="10"/>
        </w:numPr>
      </w:pPr>
      <w:r w:rsidRPr="0016478E">
        <w:t>Pour quels publics ?</w:t>
      </w:r>
    </w:p>
    <w:p w14:paraId="6A613535" w14:textId="0922C215" w:rsidR="0029286B" w:rsidRPr="0016478E" w:rsidRDefault="002A41CE" w:rsidP="00431915">
      <w:r w:rsidRPr="0016478E">
        <w:t xml:space="preserve">Dans le nouveau dispositif, il est possible d’inscrire « toute personne atteinte d’une ou de plusieurs déficiences des fonctions motrices, physiques, sensorielles, mentales, cognitives ou psychiques » à partir du moment où </w:t>
      </w:r>
      <w:r w:rsidR="00DC600F" w:rsidRPr="0016478E">
        <w:t xml:space="preserve">elle est </w:t>
      </w:r>
      <w:r w:rsidRPr="0016478E">
        <w:t>empêchée de lire du fait de ces déficiences.</w:t>
      </w:r>
    </w:p>
    <w:p w14:paraId="2E432F16" w14:textId="77777777" w:rsidR="0029286B" w:rsidRPr="0016478E" w:rsidRDefault="002A41CE" w:rsidP="00431915">
      <w:r w:rsidRPr="0016478E">
        <w:t>Cette définition permet désormais de prendre en compte les besoins des publics porteurs de troubles cognitifs et de troubles des apprentissages, tels que la dyslexie, la dysphasie, la dyspraxie et la dyscalculie (troubles « DYS »).</w:t>
      </w:r>
    </w:p>
    <w:p w14:paraId="627229FE" w14:textId="77777777" w:rsidR="0029286B" w:rsidRPr="0016478E" w:rsidRDefault="002A41CE" w:rsidP="008812ED">
      <w:pPr>
        <w:pStyle w:val="Titre2"/>
        <w:numPr>
          <w:ilvl w:val="1"/>
          <w:numId w:val="10"/>
        </w:numPr>
      </w:pPr>
      <w:r w:rsidRPr="0016478E">
        <w:t>Quels justificatifs demander ?</w:t>
      </w:r>
    </w:p>
    <w:p w14:paraId="50C1EEA8" w14:textId="77777777" w:rsidR="0029286B" w:rsidRPr="0016478E" w:rsidRDefault="002A41CE" w:rsidP="00431915">
      <w:r w:rsidRPr="0016478E">
        <w:t>Il est important de prendre connaissance des besoins de la personne empêchée de lire et de l’informer sur le cadre juridique de l’exception et les conditions d’utilisation des documents adaptés qui lui seront communiqués.</w:t>
      </w:r>
    </w:p>
    <w:p w14:paraId="3AED86C3" w14:textId="77777777" w:rsidR="0029286B" w:rsidRPr="0016478E" w:rsidRDefault="002A41CE" w:rsidP="00431915">
      <w:r w:rsidRPr="0016478E">
        <w:t>C’est avant tout la connaissance des besoins de l’usager, à travers un entretien individuel, qui permet de créer un cadre sécurisé pour la communication et la consultation de ces documents adaptés.</w:t>
      </w:r>
    </w:p>
    <w:p w14:paraId="4557B79D" w14:textId="77777777" w:rsidR="0029286B" w:rsidRPr="0016478E" w:rsidRDefault="002A41CE" w:rsidP="00431915">
      <w:r w:rsidRPr="0016478E">
        <w:t>Le justificatif présenté doit être pertinent au regard des difficultés que rencontre la personne. Voici les types de justificatifs pouvant être présentés (liste non exhaustive) :</w:t>
      </w:r>
    </w:p>
    <w:p w14:paraId="512BD488" w14:textId="5A783F69" w:rsidR="0029286B" w:rsidRPr="0016478E" w:rsidRDefault="00A23D2B" w:rsidP="00431915">
      <w:pPr>
        <w:pStyle w:val="Paragraphedeliste"/>
        <w:numPr>
          <w:ilvl w:val="0"/>
          <w:numId w:val="4"/>
        </w:numPr>
      </w:pPr>
      <w:r w:rsidRPr="0016478E">
        <w:t>La</w:t>
      </w:r>
      <w:r w:rsidR="002A41CE" w:rsidRPr="0016478E">
        <w:t xml:space="preserve"> </w:t>
      </w:r>
      <w:r w:rsidR="002A41CE" w:rsidRPr="0016478E">
        <w:rPr>
          <w:b/>
        </w:rPr>
        <w:t>carte mobilité inclusion</w:t>
      </w:r>
      <w:r w:rsidR="002A41CE" w:rsidRPr="0016478E">
        <w:t xml:space="preserve"> (CMI – nouveau nom de la carte d’invalidité), délivrée par la MDPH ;</w:t>
      </w:r>
    </w:p>
    <w:p w14:paraId="19853EB9" w14:textId="2597ADFD" w:rsidR="0029286B" w:rsidRPr="0016478E" w:rsidRDefault="00A23D2B" w:rsidP="00431915">
      <w:pPr>
        <w:pStyle w:val="Paragraphedeliste"/>
        <w:numPr>
          <w:ilvl w:val="0"/>
          <w:numId w:val="4"/>
        </w:numPr>
      </w:pPr>
      <w:r w:rsidRPr="0016478E">
        <w:t>Une</w:t>
      </w:r>
      <w:r w:rsidR="002A41CE" w:rsidRPr="0016478E">
        <w:t xml:space="preserve"> notification de la commission des droits et de l’autonomie des personnes handicapées (CDAPH) ;</w:t>
      </w:r>
    </w:p>
    <w:p w14:paraId="27C40677" w14:textId="4622EED1" w:rsidR="0029286B" w:rsidRPr="0016478E" w:rsidRDefault="00A23D2B" w:rsidP="00431915">
      <w:pPr>
        <w:pStyle w:val="Paragraphedeliste"/>
        <w:numPr>
          <w:ilvl w:val="0"/>
          <w:numId w:val="4"/>
        </w:numPr>
      </w:pPr>
      <w:r w:rsidRPr="0016478E">
        <w:t>Un</w:t>
      </w:r>
      <w:r w:rsidR="002A41CE" w:rsidRPr="0016478E">
        <w:t xml:space="preserve"> </w:t>
      </w:r>
      <w:r w:rsidR="002A41CE" w:rsidRPr="0016478E">
        <w:rPr>
          <w:b/>
        </w:rPr>
        <w:t>certificat médical</w:t>
      </w:r>
      <w:r w:rsidR="002A41CE" w:rsidRPr="0016478E">
        <w:t xml:space="preserve"> (y compris d’un généraliste) ou une </w:t>
      </w:r>
      <w:r w:rsidR="002A41CE" w:rsidRPr="0016478E">
        <w:rPr>
          <w:b/>
        </w:rPr>
        <w:t>attestation</w:t>
      </w:r>
      <w:r w:rsidR="002A41CE" w:rsidRPr="0016478E">
        <w:t xml:space="preserve"> d’un autre professionnel de santé (orthophoniste, neuropsychologue, orthoptiste, psychomotricien, ergothérapeute, etc.) ;</w:t>
      </w:r>
    </w:p>
    <w:p w14:paraId="2638D31B" w14:textId="66544ABC" w:rsidR="0029286B" w:rsidRPr="0016478E" w:rsidRDefault="00A23D2B" w:rsidP="00431915">
      <w:pPr>
        <w:pStyle w:val="Paragraphedeliste"/>
        <w:numPr>
          <w:ilvl w:val="0"/>
          <w:numId w:val="4"/>
        </w:numPr>
      </w:pPr>
      <w:r w:rsidRPr="0016478E">
        <w:t>Une</w:t>
      </w:r>
      <w:r w:rsidR="002A41CE" w:rsidRPr="0016478E">
        <w:t xml:space="preserve"> </w:t>
      </w:r>
      <w:r w:rsidR="002A41CE" w:rsidRPr="0016478E">
        <w:rPr>
          <w:b/>
        </w:rPr>
        <w:t>déclaration sur l’honneur</w:t>
      </w:r>
      <w:r w:rsidR="002A41CE" w:rsidRPr="0016478E">
        <w:t>, dès lors qu’il est manifeste que la personne est empêchée de lire</w:t>
      </w:r>
      <w:r w:rsidR="00603240" w:rsidRPr="0016478E">
        <w:t xml:space="preserve"> du fait d’un handicap ou d’un trouble (dyslexie, dyspraxie, dysphasie, etc.)</w:t>
      </w:r>
      <w:r w:rsidR="002A41CE" w:rsidRPr="0016478E">
        <w:t>.</w:t>
      </w:r>
    </w:p>
    <w:p w14:paraId="6D077E69" w14:textId="77777777" w:rsidR="0029286B" w:rsidRPr="0016478E" w:rsidRDefault="002A41CE" w:rsidP="00431915">
      <w:r w:rsidRPr="0016478E">
        <w:t>Les enfants et les jeunes bénéficiant de dispositif d’accompagnement en milieu scolaire peuvent également bénéficier de l’exception handicap :</w:t>
      </w:r>
    </w:p>
    <w:p w14:paraId="1F632452" w14:textId="4AC3EDD5" w:rsidR="0029286B" w:rsidRPr="0016478E" w:rsidRDefault="002A41CE" w:rsidP="00431915">
      <w:pPr>
        <w:pStyle w:val="Paragraphedeliste"/>
        <w:numPr>
          <w:ilvl w:val="0"/>
          <w:numId w:val="3"/>
        </w:numPr>
      </w:pPr>
      <w:r w:rsidRPr="0016478E">
        <w:rPr>
          <w:b/>
        </w:rPr>
        <w:t>rojet personnalisé de scolarisation</w:t>
      </w:r>
      <w:r w:rsidR="0022579A" w:rsidRPr="0016478E">
        <w:rPr>
          <w:b/>
        </w:rPr>
        <w:t xml:space="preserve"> (PPS</w:t>
      </w:r>
      <w:r w:rsidRPr="0016478E">
        <w:rPr>
          <w:b/>
        </w:rPr>
        <w:t>)</w:t>
      </w:r>
      <w:r w:rsidRPr="0016478E">
        <w:t>, plan d’accompagnement personnalisé</w:t>
      </w:r>
      <w:r w:rsidR="0022579A" w:rsidRPr="0016478E">
        <w:t xml:space="preserve"> (PAP</w:t>
      </w:r>
      <w:r w:rsidRPr="0016478E">
        <w:t xml:space="preserve">) ou </w:t>
      </w:r>
      <w:r w:rsidR="0022579A" w:rsidRPr="0016478E">
        <w:t>plan d’accueil individualisé (PAI) pour la mise en œuvre de plans d’accompagnement dans l’enseignement primaire et secondaire</w:t>
      </w:r>
      <w:r w:rsidR="00DE7280" w:rsidRPr="0016478E">
        <w:t> </w:t>
      </w:r>
      <w:r w:rsidR="0022579A" w:rsidRPr="0016478E">
        <w:t>;</w:t>
      </w:r>
    </w:p>
    <w:p w14:paraId="130C17CD" w14:textId="64868E14" w:rsidR="008D5F9F" w:rsidRPr="0016478E" w:rsidRDefault="00DC600F" w:rsidP="00431915">
      <w:pPr>
        <w:pStyle w:val="Paragraphedeliste"/>
        <w:numPr>
          <w:ilvl w:val="0"/>
          <w:numId w:val="3"/>
        </w:numPr>
      </w:pPr>
      <w:r w:rsidRPr="0016478E">
        <w:t>p</w:t>
      </w:r>
      <w:r w:rsidR="008D5F9F" w:rsidRPr="0016478E">
        <w:t xml:space="preserve">our les étudiants en situation de handicap, </w:t>
      </w:r>
      <w:r w:rsidR="008D5F9F" w:rsidRPr="0016478E">
        <w:rPr>
          <w:b/>
        </w:rPr>
        <w:t>inscription à la « mission handicap »</w:t>
      </w:r>
      <w:r w:rsidR="008D5F9F" w:rsidRPr="0016478E">
        <w:t xml:space="preserve"> de l’université</w:t>
      </w:r>
      <w:r w:rsidR="00827942" w:rsidRPr="0016478E">
        <w:t xml:space="preserve"> ou de l’établissement d’enseignement supérieur</w:t>
      </w:r>
      <w:r w:rsidR="008D5F9F" w:rsidRPr="0016478E">
        <w:t>.</w:t>
      </w:r>
    </w:p>
    <w:p w14:paraId="5B916A76" w14:textId="77777777" w:rsidR="0029286B" w:rsidRPr="0016478E" w:rsidRDefault="002A41CE" w:rsidP="008812ED">
      <w:pPr>
        <w:pStyle w:val="Titre2"/>
        <w:numPr>
          <w:ilvl w:val="1"/>
          <w:numId w:val="10"/>
        </w:numPr>
      </w:pPr>
      <w:r w:rsidRPr="0016478E">
        <w:t>Les procédures d’accueil</w:t>
      </w:r>
    </w:p>
    <w:p w14:paraId="74AE071B" w14:textId="77777777" w:rsidR="0029286B" w:rsidRPr="0016478E" w:rsidRDefault="002A41CE" w:rsidP="00431915">
      <w:r w:rsidRPr="0016478E">
        <w:t>Il est important d’expliciter et de prévoir la mise en place de procédures, au sein de la bibliothèque, permettant le repérage et l’accompagnement des besoins spécifiques d’accès au livre et à la lecture. Les procédures d’accueil, sur place ou à distance, peuvent se décliner en deux temps :</w:t>
      </w:r>
    </w:p>
    <w:p w14:paraId="2E338173" w14:textId="055C8851" w:rsidR="00B85F13" w:rsidRPr="0016478E" w:rsidRDefault="002A41CE" w:rsidP="00337D67">
      <w:pPr>
        <w:pStyle w:val="Paragraphedeliste"/>
        <w:numPr>
          <w:ilvl w:val="0"/>
          <w:numId w:val="5"/>
        </w:numPr>
        <w:ind w:left="357" w:hanging="357"/>
        <w:contextualSpacing w:val="0"/>
      </w:pPr>
      <w:r w:rsidRPr="0016478E">
        <w:rPr>
          <w:b/>
        </w:rPr>
        <w:t>Un premier temps d’accueil, le plus ouvert et le plus inclusif possible</w:t>
      </w:r>
      <w:r w:rsidRPr="0016478E">
        <w:t>, doit permettre de présenter l’ensemble des services que la bibliothèque propose aux personnes empêchées de lire (offre de collections et de services, facilités de prêts, etc.) ;</w:t>
      </w:r>
    </w:p>
    <w:p w14:paraId="73F63C36" w14:textId="1C596E4D" w:rsidR="005B21E8" w:rsidRPr="0016478E" w:rsidRDefault="002A41CE" w:rsidP="004C0DFC">
      <w:pPr>
        <w:pStyle w:val="Paragraphedeliste"/>
        <w:numPr>
          <w:ilvl w:val="0"/>
          <w:numId w:val="5"/>
        </w:numPr>
        <w:rPr>
          <w:rFonts w:cs="Helvetica"/>
        </w:rPr>
      </w:pPr>
      <w:r w:rsidRPr="0016478E">
        <w:rPr>
          <w:b/>
        </w:rPr>
        <w:t>Un deuxième temps, sous la forme d’un entretien individuel</w:t>
      </w:r>
      <w:r w:rsidRPr="0016478E">
        <w:t xml:space="preserve">, est destiné à cerner les besoins spécifiques d’accès au livre et à la lecture. Il est également consacré à l’information des usagers sur le dispositif de l’exception handicap, avec consultation strictement personnelle des documents adaptés, en particulier ceux issus de </w:t>
      </w:r>
      <w:r w:rsidR="00700669" w:rsidRPr="0016478E">
        <w:t>Platon</w:t>
      </w:r>
      <w:r w:rsidRPr="0016478E">
        <w:t xml:space="preserve"> ou de </w:t>
      </w:r>
      <w:r w:rsidRPr="0016478E">
        <w:rPr>
          <w:rFonts w:cs="Helvetica"/>
        </w:rPr>
        <w:t xml:space="preserve">bibliothèques numériques comme </w:t>
      </w:r>
      <w:hyperlink r:id="rId16">
        <w:r w:rsidRPr="0016478E">
          <w:rPr>
            <w:rStyle w:val="LienInternet"/>
            <w:rFonts w:cs="Helvetica"/>
          </w:rPr>
          <w:t>Eole</w:t>
        </w:r>
      </w:hyperlink>
      <w:r w:rsidR="00B85F13" w:rsidRPr="0016478E">
        <w:rPr>
          <w:rFonts w:cs="Helvetica"/>
        </w:rPr>
        <w:t>.</w:t>
      </w:r>
    </w:p>
    <w:p w14:paraId="79E87816" w14:textId="7C3B7EAD" w:rsidR="005B21E8" w:rsidRPr="0016478E" w:rsidRDefault="00B85F13" w:rsidP="005B21E8">
      <w:pPr>
        <w:pStyle w:val="Paragraphedeliste"/>
        <w:ind w:left="360"/>
      </w:pPr>
      <w:r w:rsidRPr="0016478E">
        <w:t xml:space="preserve">Ce deuxième temps d’information peut être l’occasion de présenter des pièces justificatives attestant du besoin spécifique de lecture, ainsi que de signer la </w:t>
      </w:r>
      <w:r w:rsidRPr="0016478E">
        <w:rPr>
          <w:b/>
        </w:rPr>
        <w:t>Charte d’engagement de l’usager</w:t>
      </w:r>
      <w:r w:rsidRPr="0016478E">
        <w:t xml:space="preserve"> l’informant de ses droits et de ses engagements</w:t>
      </w:r>
      <w:r w:rsidR="00892E4A" w:rsidRPr="0016478E">
        <w:t xml:space="preserve"> (cf. modèle de charte d’engagement de l’usager, en annexe)</w:t>
      </w:r>
      <w:r w:rsidRPr="0016478E">
        <w:t>.</w:t>
      </w:r>
    </w:p>
    <w:p w14:paraId="3AF32DA3" w14:textId="6E4B1929" w:rsidR="00304CEB" w:rsidRPr="0016478E" w:rsidRDefault="002A41CE" w:rsidP="00431915">
      <w:r w:rsidRPr="0016478E">
        <w:rPr>
          <w:b/>
        </w:rPr>
        <w:lastRenderedPageBreak/>
        <w:t>Dans le cas d’un accueil de groupe</w:t>
      </w:r>
      <w:r w:rsidRPr="0016478E">
        <w:t xml:space="preserve"> (classes ULIS, classes spécialisées, associations locales de personnes handicapées, accueils de jour, etc.), le temps d’information pourra être préparé en lien avec les partenaires ou avec les personnes encadrant le groupe.</w:t>
      </w:r>
    </w:p>
    <w:p w14:paraId="3EEBCB3F" w14:textId="3EE0C45E" w:rsidR="0029286B" w:rsidRPr="0016478E" w:rsidRDefault="002A41CE" w:rsidP="00431915">
      <w:r w:rsidRPr="0016478E">
        <w:rPr>
          <w:b/>
        </w:rPr>
        <w:t>Un profil spécifique de l’usager</w:t>
      </w:r>
      <w:r w:rsidRPr="0016478E">
        <w:t xml:space="preserve"> (catégorie « accessibilité »</w:t>
      </w:r>
      <w:r w:rsidR="0048384E" w:rsidRPr="0016478E">
        <w:t xml:space="preserve"> ou </w:t>
      </w:r>
      <w:r w:rsidR="001051C7" w:rsidRPr="0016478E">
        <w:t xml:space="preserve">portant le </w:t>
      </w:r>
      <w:r w:rsidR="0048384E" w:rsidRPr="0016478E">
        <w:t>nom du pôle</w:t>
      </w:r>
      <w:r w:rsidR="001051C7" w:rsidRPr="0016478E">
        <w:t xml:space="preserve"> dédié</w:t>
      </w:r>
      <w:r w:rsidR="0048384E" w:rsidRPr="0016478E">
        <w:t xml:space="preserve"> de la bibliothèque</w:t>
      </w:r>
      <w:r w:rsidRPr="0016478E">
        <w:t>, par exemple) peut être créé dans le système informatique de la bibliothèque. Des facilités de prêts peuvent y être associées : gratuité, allongement de la durée des prêts, augmentation du nombre de prêts, etc.</w:t>
      </w:r>
    </w:p>
    <w:p w14:paraId="76E102C1" w14:textId="6C63316A" w:rsidR="0029286B" w:rsidRPr="0016478E" w:rsidRDefault="002A41CE" w:rsidP="00431915">
      <w:r w:rsidRPr="0016478E">
        <w:rPr>
          <w:b/>
        </w:rPr>
        <w:t>Nota bene</w:t>
      </w:r>
      <w:r w:rsidRPr="0016478E">
        <w:t xml:space="preserve"> : Il convient de rappeler que la collecte et la conservation de données à caractère personnel doit se faire dans le respect des dispositions de la loi relative à la loi </w:t>
      </w:r>
      <w:r w:rsidRPr="0016478E">
        <w:rPr>
          <w:rStyle w:val="Accentuationforte"/>
          <w:b w:val="0"/>
          <w:bCs w:val="0"/>
        </w:rPr>
        <w:t xml:space="preserve">n° 78-17 du 6 janvier 1978 relative à l'informatique, aux fichiers et aux libertés. </w:t>
      </w:r>
      <w:r w:rsidRPr="0016478E">
        <w:t xml:space="preserve">Celle-ci interdit en principe la conservation de preuves du handicap. </w:t>
      </w:r>
      <w:r w:rsidR="00606F55" w:rsidRPr="0016478E">
        <w:rPr>
          <w:rFonts w:cs="Helvetica"/>
        </w:rPr>
        <w:t>À</w:t>
      </w:r>
      <w:r w:rsidR="00B138F8" w:rsidRPr="0016478E">
        <w:t xml:space="preserve"> des </w:t>
      </w:r>
      <w:r w:rsidRPr="0016478E">
        <w:t xml:space="preserve">fins de gestion et de statistiques, il est cependant possible de mettre en place un profil spécifique comme indiqué ci-dessus, à partir de la présentation de justificatifs (cf. : </w:t>
      </w:r>
      <w:hyperlink r:id="rId17">
        <w:r w:rsidRPr="0016478E">
          <w:rPr>
            <w:rStyle w:val="LienInternet"/>
          </w:rPr>
          <w:t>Commission nationale de l’informatique et des libertés – CNIL, norme simplifiée NS-019</w:t>
        </w:r>
      </w:hyperlink>
      <w:r w:rsidRPr="0016478E">
        <w:t>).</w:t>
      </w:r>
    </w:p>
    <w:p w14:paraId="044D4D1A" w14:textId="453B92E1" w:rsidR="007B74C6" w:rsidRPr="0016478E" w:rsidRDefault="007B74C6" w:rsidP="008812ED">
      <w:pPr>
        <w:pStyle w:val="Titre2"/>
        <w:numPr>
          <w:ilvl w:val="1"/>
          <w:numId w:val="10"/>
        </w:numPr>
      </w:pPr>
      <w:r w:rsidRPr="0016478E">
        <w:t>Information des usagers et du personnel</w:t>
      </w:r>
    </w:p>
    <w:p w14:paraId="24938ABB" w14:textId="77777777" w:rsidR="007B74C6" w:rsidRPr="0016478E" w:rsidRDefault="007B74C6" w:rsidP="00431915">
      <w:r w:rsidRPr="0016478E">
        <w:t>Il est important de s’assurer de la connaissance du cadre légal à la fois par le personnel et par les usagers (charte, documents d’information, information donnée au moment de l’ouverture d’une session, formations, mémento à usage interne…).</w:t>
      </w:r>
    </w:p>
    <w:p w14:paraId="00CAD06A" w14:textId="2030C571" w:rsidR="007B74C6" w:rsidRPr="0016478E" w:rsidRDefault="007B74C6" w:rsidP="00431915">
      <w:r w:rsidRPr="0016478E">
        <w:t>De manière générale, il est nécessaire de formaliser les documents d’information dédiés à ce sujet, en particulier la Charte d’engagement des usagers. Ces pièces pourront être demandées dans le cadre de la constitution du dossier de demande d’habilitation.</w:t>
      </w:r>
    </w:p>
    <w:p w14:paraId="3133A245" w14:textId="77777777" w:rsidR="0029286B" w:rsidRPr="0016478E" w:rsidRDefault="002A41CE" w:rsidP="008812ED">
      <w:pPr>
        <w:pStyle w:val="Titre2"/>
        <w:numPr>
          <w:ilvl w:val="1"/>
          <w:numId w:val="10"/>
        </w:numPr>
      </w:pPr>
      <w:r w:rsidRPr="0016478E">
        <w:t>La formation du personnel</w:t>
      </w:r>
    </w:p>
    <w:p w14:paraId="24E50A28" w14:textId="3F31B460" w:rsidR="0029286B" w:rsidRPr="0016478E" w:rsidRDefault="002A41CE" w:rsidP="00431915">
      <w:r w:rsidRPr="0016478E">
        <w:t xml:space="preserve">La formation du personnel est un élément déterminant pour la mise en place du dispositif en bibliothèque. La bibliothèque doit pouvoir assurer un bagage minimal à l’ensemble des agents en banque d’accueil, portant sur le code de la propriété intellectuelle, l’exception </w:t>
      </w:r>
      <w:r w:rsidR="00E30A11" w:rsidRPr="0016478E">
        <w:t>au droit d’auteur en faveur des personnes handicapées</w:t>
      </w:r>
      <w:r w:rsidRPr="0016478E">
        <w:t>, le statut juridique particulier des œuvres adaptées et la consultation strictement personnelle accordée aux bénéficiaires. Cette formation peut s’inscrire dans un cadre plus général sur l’accueil des personnes en situation de handicap.</w:t>
      </w:r>
    </w:p>
    <w:p w14:paraId="775CDAF0" w14:textId="650D3A37" w:rsidR="00917304" w:rsidRPr="0016478E" w:rsidRDefault="002A41CE" w:rsidP="00431915">
      <w:r w:rsidRPr="0016478E">
        <w:t>L’équipe référente ou la personne référente désignées au sein de la bibliothèque peuvent ensuite prendre le relais pour l’entretien individuel et pour la communication des documents adaptés.</w:t>
      </w:r>
    </w:p>
    <w:p w14:paraId="477F39B4" w14:textId="663D149C" w:rsidR="00DE6DE1" w:rsidRPr="0016478E" w:rsidRDefault="002E74F4" w:rsidP="008812ED">
      <w:pPr>
        <w:pStyle w:val="Titre2"/>
        <w:numPr>
          <w:ilvl w:val="1"/>
          <w:numId w:val="10"/>
        </w:numPr>
      </w:pPr>
      <w:r w:rsidRPr="0016478E">
        <w:t xml:space="preserve">Equipements, </w:t>
      </w:r>
      <w:r w:rsidR="00DE6DE1" w:rsidRPr="0016478E">
        <w:t>matériels</w:t>
      </w:r>
      <w:r w:rsidRPr="0016478E">
        <w:t xml:space="preserve"> et logiciels</w:t>
      </w:r>
    </w:p>
    <w:p w14:paraId="382BA93D" w14:textId="777C1AD5" w:rsidR="00DE6DE1" w:rsidRPr="0016478E" w:rsidRDefault="002C5495" w:rsidP="00DE6DE1">
      <w:r w:rsidRPr="0016478E">
        <w:t>Dans</w:t>
      </w:r>
      <w:r w:rsidR="00F14F3A" w:rsidRPr="0016478E">
        <w:t xml:space="preserve"> le</w:t>
      </w:r>
      <w:r w:rsidRPr="0016478E">
        <w:t xml:space="preserve"> cas de l’accompagnement </w:t>
      </w:r>
      <w:r w:rsidR="002E74F4" w:rsidRPr="0016478E">
        <w:t xml:space="preserve">en bibliothèque </w:t>
      </w:r>
      <w:r w:rsidRPr="0016478E">
        <w:t>d’usagers en situation de handicap par un proche, un encadrant ou un bénévole d’association</w:t>
      </w:r>
      <w:r w:rsidR="002E74F4" w:rsidRPr="0016478E">
        <w:t xml:space="preserve"> pour l’aide à la lecture d’ouvrages</w:t>
      </w:r>
      <w:r w:rsidRPr="0016478E">
        <w:t xml:space="preserve">, </w:t>
      </w:r>
      <w:r w:rsidR="002E74F4" w:rsidRPr="0016478E">
        <w:t xml:space="preserve">il peut être utile de prévoir un </w:t>
      </w:r>
      <w:r w:rsidR="00923C56" w:rsidRPr="0016478E">
        <w:t xml:space="preserve">espace </w:t>
      </w:r>
      <w:r w:rsidR="002E74F4" w:rsidRPr="0016478E">
        <w:t xml:space="preserve">isolé afin de permettre les échanges et de ne pas </w:t>
      </w:r>
      <w:r w:rsidR="00F17D98" w:rsidRPr="0016478E">
        <w:t>déranger les autres usagers de la bibliothèque</w:t>
      </w:r>
      <w:r w:rsidR="00923C56" w:rsidRPr="0016478E">
        <w:t>.</w:t>
      </w:r>
    </w:p>
    <w:p w14:paraId="43F141AA" w14:textId="21B06257" w:rsidR="00923C56" w:rsidRPr="0016478E" w:rsidRDefault="00C97CC4" w:rsidP="00DE6DE1">
      <w:r w:rsidRPr="0016478E">
        <w:t xml:space="preserve">Des matériels et logiciels </w:t>
      </w:r>
      <w:r w:rsidR="00F14F3A" w:rsidRPr="0016478E">
        <w:t xml:space="preserve">d’aide à la lecture </w:t>
      </w:r>
      <w:r w:rsidRPr="0016478E">
        <w:t>peuvent également être mis à la disposition du public</w:t>
      </w:r>
      <w:r w:rsidR="00F14F3A" w:rsidRPr="0016478E">
        <w:t xml:space="preserve">, avec un </w:t>
      </w:r>
      <w:r w:rsidRPr="0016478E">
        <w:t xml:space="preserve">accès </w:t>
      </w:r>
      <w:r w:rsidR="00F14F3A" w:rsidRPr="0016478E">
        <w:t>facilité</w:t>
      </w:r>
      <w:r w:rsidRPr="0016478E">
        <w:t xml:space="preserve"> : </w:t>
      </w:r>
      <w:r w:rsidR="002407EE" w:rsidRPr="0016478E">
        <w:t>ordinateurs avec accès Internet, grand écran et clavier en gros caractères</w:t>
      </w:r>
      <w:r w:rsidR="00983921" w:rsidRPr="0016478E">
        <w:t>, équipés de logiciels de lecture d’écran, de correcteur orthographique ; appareils de lecture Daisy ; télé-agrandisseurs ou loupes électroniques.</w:t>
      </w:r>
    </w:p>
    <w:p w14:paraId="051913CF" w14:textId="04F9408C" w:rsidR="002407EE" w:rsidRPr="0016478E" w:rsidRDefault="002407EE" w:rsidP="00DE6DE1">
      <w:r w:rsidRPr="0016478E">
        <w:t xml:space="preserve">A noter que, </w:t>
      </w:r>
      <w:r w:rsidR="009671CC" w:rsidRPr="0016478E">
        <w:t xml:space="preserve">bien </w:t>
      </w:r>
      <w:r w:rsidRPr="0016478E">
        <w:t xml:space="preserve">souvent, les usagers en situation de handicap </w:t>
      </w:r>
      <w:r w:rsidR="00F14F3A" w:rsidRPr="0016478E">
        <w:t xml:space="preserve">se rendent à la </w:t>
      </w:r>
      <w:r w:rsidRPr="0016478E">
        <w:t>bibliothèque</w:t>
      </w:r>
      <w:r w:rsidR="009671CC" w:rsidRPr="0016478E">
        <w:t xml:space="preserve"> déjà</w:t>
      </w:r>
      <w:r w:rsidRPr="0016478E">
        <w:t xml:space="preserve"> équipés de leur propre matériel (bloc-notes braille, ordinateur portable, etc.).</w:t>
      </w:r>
    </w:p>
    <w:p w14:paraId="76A95AAE" w14:textId="67AFFD36" w:rsidR="00917304" w:rsidRPr="0016478E" w:rsidRDefault="00917304" w:rsidP="008812ED">
      <w:pPr>
        <w:pStyle w:val="Titre2"/>
        <w:numPr>
          <w:ilvl w:val="1"/>
          <w:numId w:val="10"/>
        </w:numPr>
      </w:pPr>
      <w:r w:rsidRPr="0016478E">
        <w:t>La communication en direction du public</w:t>
      </w:r>
    </w:p>
    <w:p w14:paraId="2ACFF394" w14:textId="783805B9" w:rsidR="00FB79DA" w:rsidRPr="0016478E" w:rsidRDefault="0026746B" w:rsidP="00431915">
      <w:r w:rsidRPr="0016478E">
        <w:t>De nombreux</w:t>
      </w:r>
      <w:r w:rsidR="00DF04FA" w:rsidRPr="0016478E">
        <w:t xml:space="preserve"> retours d’expérience ont montré que la meilleure manière de toucher les publics en situation de handicap</w:t>
      </w:r>
      <w:r w:rsidR="001344D3" w:rsidRPr="0016478E">
        <w:t xml:space="preserve"> </w:t>
      </w:r>
      <w:r w:rsidR="006C31C5" w:rsidRPr="0016478E">
        <w:t xml:space="preserve">reste </w:t>
      </w:r>
      <w:r w:rsidR="00DF04FA" w:rsidRPr="0016478E">
        <w:t xml:space="preserve">d’informer le grand public </w:t>
      </w:r>
      <w:r w:rsidR="001344D3" w:rsidRPr="0016478E">
        <w:t>sur les offres de lecture et de services</w:t>
      </w:r>
      <w:r w:rsidR="006C31C5" w:rsidRPr="0016478E">
        <w:t xml:space="preserve"> qui leur sont proposés en bibliothèque</w:t>
      </w:r>
      <w:r w:rsidR="001344D3" w:rsidRPr="0016478E">
        <w:t>.</w:t>
      </w:r>
      <w:r w:rsidR="0069065C" w:rsidRPr="0016478E">
        <w:t xml:space="preserve"> </w:t>
      </w:r>
    </w:p>
    <w:p w14:paraId="695C892E" w14:textId="066260C9" w:rsidR="006C31C5" w:rsidRPr="0016478E" w:rsidRDefault="004F07A0" w:rsidP="00431915">
      <w:r w:rsidRPr="0016478E">
        <w:t>La communication passe par les canaux de diffusion habituels : plaquettes d’information, site internet, présence sur les réseaux sociaux, lettres d’</w:t>
      </w:r>
      <w:r w:rsidR="006C31C5" w:rsidRPr="0016478E">
        <w:t>information diffusées par mail</w:t>
      </w:r>
      <w:r w:rsidR="0059639D" w:rsidRPr="0016478E">
        <w:t>, etc</w:t>
      </w:r>
      <w:r w:rsidR="006C31C5" w:rsidRPr="0016478E">
        <w:t>.</w:t>
      </w:r>
    </w:p>
    <w:p w14:paraId="28B23A68" w14:textId="24C4756C" w:rsidR="00E5570D" w:rsidRPr="0016478E" w:rsidRDefault="004F07A0" w:rsidP="00431915">
      <w:r w:rsidRPr="0016478E">
        <w:lastRenderedPageBreak/>
        <w:t>Dans une logique d</w:t>
      </w:r>
      <w:r w:rsidR="0026746B" w:rsidRPr="0016478E">
        <w:t xml:space="preserve">’inclusion </w:t>
      </w:r>
      <w:r w:rsidRPr="0016478E">
        <w:t xml:space="preserve">sociale, cette communication devrait inclure les services </w:t>
      </w:r>
      <w:r w:rsidR="001B2211" w:rsidRPr="0016478E">
        <w:t xml:space="preserve">et collections </w:t>
      </w:r>
      <w:r w:rsidRPr="0016478E">
        <w:t>proposés aux usagers en situation de handicap :</w:t>
      </w:r>
      <w:r w:rsidR="0059639D" w:rsidRPr="0016478E">
        <w:t xml:space="preserve"> choisir un</w:t>
      </w:r>
      <w:r w:rsidRPr="0016478E">
        <w:t xml:space="preserve"> </w:t>
      </w:r>
      <w:r w:rsidR="001B2211" w:rsidRPr="0016478E">
        <w:t xml:space="preserve">emplacement </w:t>
      </w:r>
      <w:r w:rsidR="0059639D" w:rsidRPr="0016478E">
        <w:t xml:space="preserve">facilement repérable </w:t>
      </w:r>
      <w:r w:rsidR="001B2211" w:rsidRPr="0016478E">
        <w:t>du pôle dédié dans la bibliothèque et informations de con</w:t>
      </w:r>
      <w:r w:rsidR="00CF5C82" w:rsidRPr="0016478E">
        <w:t xml:space="preserve">tact ; </w:t>
      </w:r>
      <w:r w:rsidR="0059639D" w:rsidRPr="0016478E">
        <w:t xml:space="preserve">mettre en place une </w:t>
      </w:r>
      <w:r w:rsidR="008668FF" w:rsidRPr="0016478E">
        <w:t>médiation numérique</w:t>
      </w:r>
      <w:r w:rsidR="00CC006C" w:rsidRPr="0016478E">
        <w:t xml:space="preserve"> et</w:t>
      </w:r>
      <w:r w:rsidR="008668FF" w:rsidRPr="0016478E">
        <w:t xml:space="preserve"> </w:t>
      </w:r>
      <w:r w:rsidR="0059639D" w:rsidRPr="0016478E">
        <w:t xml:space="preserve">des </w:t>
      </w:r>
      <w:r w:rsidRPr="0016478E">
        <w:t>animations culturelles (</w:t>
      </w:r>
      <w:r w:rsidR="00741259" w:rsidRPr="0016478E">
        <w:t xml:space="preserve">par exemple </w:t>
      </w:r>
      <w:r w:rsidRPr="0016478E">
        <w:t xml:space="preserve">animations « lire dans le noir », </w:t>
      </w:r>
      <w:r w:rsidR="00451394" w:rsidRPr="0016478E">
        <w:t>contes bilingues français / langue des signes,</w:t>
      </w:r>
      <w:r w:rsidR="0059639D" w:rsidRPr="0016478E">
        <w:t xml:space="preserve"> proposer des</w:t>
      </w:r>
      <w:r w:rsidR="00451394" w:rsidRPr="0016478E">
        <w:t xml:space="preserve"> </w:t>
      </w:r>
      <w:r w:rsidRPr="0016478E">
        <w:t>projection</w:t>
      </w:r>
      <w:r w:rsidR="0059639D" w:rsidRPr="0016478E">
        <w:t>s</w:t>
      </w:r>
      <w:r w:rsidRPr="0016478E">
        <w:t xml:space="preserve"> de films sous-titrés ou audio-décrits, spectacles, événements de sensibilisation au handicap...</w:t>
      </w:r>
      <w:r w:rsidR="00CC006C" w:rsidRPr="0016478E">
        <w:t>)</w:t>
      </w:r>
      <w:r w:rsidRPr="0016478E">
        <w:t>.</w:t>
      </w:r>
    </w:p>
    <w:p w14:paraId="3A8D4905" w14:textId="77777777" w:rsidR="0029286B" w:rsidRPr="0016478E" w:rsidRDefault="002A41CE" w:rsidP="00431915">
      <w:pPr>
        <w:pStyle w:val="Titre1"/>
        <w:numPr>
          <w:ilvl w:val="0"/>
          <w:numId w:val="10"/>
        </w:numPr>
      </w:pPr>
      <w:bookmarkStart w:id="2" w:name="_Toc180589701"/>
      <w:r w:rsidRPr="0016478E">
        <w:t>La sécurisation technique et informatique</w:t>
      </w:r>
      <w:bookmarkEnd w:id="2"/>
    </w:p>
    <w:p w14:paraId="593713CA" w14:textId="0F4D2552" w:rsidR="0029286B" w:rsidRPr="0016478E" w:rsidRDefault="002A41CE" w:rsidP="00431915">
      <w:r w:rsidRPr="0016478E">
        <w:t>Dans le cadre de la mutualisation des documents numériques adaptés entre organismes habilités, il est important d’assurer un</w:t>
      </w:r>
      <w:r w:rsidR="0059639D" w:rsidRPr="0016478E">
        <w:t xml:space="preserve"> </w:t>
      </w:r>
      <w:r w:rsidR="000F60FE" w:rsidRPr="0016478E">
        <w:t xml:space="preserve">certain </w:t>
      </w:r>
      <w:r w:rsidR="0059639D" w:rsidRPr="0016478E">
        <w:t xml:space="preserve">degré de </w:t>
      </w:r>
      <w:r w:rsidRPr="0016478E">
        <w:t>sécurisation technique et informatique :</w:t>
      </w:r>
    </w:p>
    <w:p w14:paraId="30FF1775" w14:textId="03A9CAAF" w:rsidR="0029286B" w:rsidRPr="0016478E" w:rsidRDefault="002A41CE" w:rsidP="008812ED">
      <w:pPr>
        <w:pStyle w:val="Titre2"/>
        <w:numPr>
          <w:ilvl w:val="1"/>
          <w:numId w:val="10"/>
        </w:numPr>
      </w:pPr>
      <w:r w:rsidRPr="0016478E">
        <w:t>Connexion et téléchargement à partir de la plateforme P</w:t>
      </w:r>
      <w:r w:rsidR="00700669" w:rsidRPr="0016478E">
        <w:t>laton</w:t>
      </w:r>
    </w:p>
    <w:p w14:paraId="4533ACA2" w14:textId="05A6AD44" w:rsidR="0029286B" w:rsidRPr="0016478E" w:rsidRDefault="002A41CE" w:rsidP="00431915">
      <w:r w:rsidRPr="0016478E">
        <w:t xml:space="preserve">L'accès à la </w:t>
      </w:r>
      <w:hyperlink r:id="rId18">
        <w:r w:rsidRPr="0016478E">
          <w:rPr>
            <w:rStyle w:val="LienInternet"/>
          </w:rPr>
          <w:t>plateforme P</w:t>
        </w:r>
        <w:r w:rsidR="00700669" w:rsidRPr="0016478E">
          <w:rPr>
            <w:rStyle w:val="LienInternet"/>
          </w:rPr>
          <w:t>laton</w:t>
        </w:r>
      </w:hyperlink>
      <w:r w:rsidR="00A23D2B" w:rsidRPr="0016478E">
        <w:rPr>
          <w:rStyle w:val="LienInternet"/>
        </w:rPr>
        <w:t>,</w:t>
      </w:r>
      <w:r w:rsidRPr="0016478E">
        <w:t xml:space="preserve"> gérée par la Bibliothèque nationale de </w:t>
      </w:r>
      <w:r w:rsidR="00A23D2B" w:rsidRPr="0016478E">
        <w:t>France,</w:t>
      </w:r>
      <w:r w:rsidRPr="0016478E">
        <w:t xml:space="preserve"> se fait par des personnes habilitées au sein de la bibliothèque, et non par les bénéficiaires directement.</w:t>
      </w:r>
    </w:p>
    <w:p w14:paraId="6A72A77A" w14:textId="7DDA48A5" w:rsidR="0029286B" w:rsidRPr="0016478E" w:rsidRDefault="002A41CE" w:rsidP="00431915">
      <w:r w:rsidRPr="0016478E">
        <w:t xml:space="preserve">Une ou plusieurs personnes peuvent être habilitées : elles ont un identifiant et </w:t>
      </w:r>
      <w:r w:rsidR="000F60FE" w:rsidRPr="0016478E">
        <w:t xml:space="preserve">un </w:t>
      </w:r>
      <w:r w:rsidRPr="0016478E">
        <w:t>mot de passe pour la connexion. Dans le cas où plusieurs personnes se connectent à P</w:t>
      </w:r>
      <w:r w:rsidR="00700669" w:rsidRPr="0016478E">
        <w:t>laton</w:t>
      </w:r>
      <w:r w:rsidRPr="0016478E">
        <w:t>, une personne référente (compte principal) est identifiée comme telle sur la plateforme et en assure la coordination.</w:t>
      </w:r>
    </w:p>
    <w:p w14:paraId="4B8FF159" w14:textId="1DC5726D" w:rsidR="0029286B" w:rsidRPr="0016478E" w:rsidRDefault="002A41CE" w:rsidP="00431915">
      <w:r w:rsidRPr="0016478E">
        <w:t>Le(s) poste(s) de connexion à P</w:t>
      </w:r>
      <w:r w:rsidR="00700669" w:rsidRPr="0016478E">
        <w:t>laton</w:t>
      </w:r>
      <w:r w:rsidRPr="0016478E">
        <w:t xml:space="preserve"> étant un poste relié à Internet (plateforme web), il est très vivement conseillé d'assurer la sécurisation de cet accès par un antivirus, avec mise à jour automatique de préférence.</w:t>
      </w:r>
    </w:p>
    <w:p w14:paraId="6C2AD119" w14:textId="77777777" w:rsidR="0029286B" w:rsidRPr="0016478E" w:rsidRDefault="002A41CE" w:rsidP="00431915">
      <w:r w:rsidRPr="0016478E">
        <w:t>L'accès au poste de connexion doit être également limité (ouverture du poste avec identifiants ; mise en veille automatique).</w:t>
      </w:r>
    </w:p>
    <w:p w14:paraId="3C8FDE01" w14:textId="1FD982F5" w:rsidR="00E5570D" w:rsidRPr="0016478E" w:rsidRDefault="002A41CE" w:rsidP="00431915">
      <w:r w:rsidRPr="0016478E">
        <w:t>Une fois le fichier adapté transmis au bénéficiaire, il peut être stocké (de manière sécurisée, dans un répertoire spécifique) ou détruit par mise à la corbeille et vidage de celle-ci. Il convient de s'assurer qu'il ne reste pas sur le bureau d'un poste de travail en accès libre.</w:t>
      </w:r>
    </w:p>
    <w:p w14:paraId="660A9756" w14:textId="77777777" w:rsidR="0029286B" w:rsidRPr="0016478E" w:rsidRDefault="002A41CE" w:rsidP="008812ED">
      <w:pPr>
        <w:pStyle w:val="Titre2"/>
        <w:numPr>
          <w:ilvl w:val="1"/>
          <w:numId w:val="10"/>
        </w:numPr>
      </w:pPr>
      <w:r w:rsidRPr="0016478E">
        <w:t>Transmission des fichiers adaptés aux bénéficiaires</w:t>
      </w:r>
    </w:p>
    <w:p w14:paraId="3F5CA365" w14:textId="77777777" w:rsidR="0029286B" w:rsidRPr="0016478E" w:rsidRDefault="002A41CE" w:rsidP="00431915">
      <w:r w:rsidRPr="0016478E">
        <w:t>Dans le cas d'une consultation du fichier adapté par un bénéficiaire sur un poste public, une fois la consultation terminée, ne pas oublier de supprimer le fichier adapté avec mise à la corbeille et vidage systématique de celle-ci.</w:t>
      </w:r>
    </w:p>
    <w:p w14:paraId="5FF53BC5" w14:textId="77777777" w:rsidR="0029286B" w:rsidRPr="0016478E" w:rsidRDefault="002A41CE" w:rsidP="00431915">
      <w:r w:rsidRPr="0016478E">
        <w:t>S'il s'agit d'un poste dédié déjà chargé avec des fichiers adaptés, conditionner l'ouverture de ce poste avec un identifiant et un mot de passe / système de session.</w:t>
      </w:r>
    </w:p>
    <w:p w14:paraId="5E02EBDA" w14:textId="77777777" w:rsidR="0029286B" w:rsidRPr="0016478E" w:rsidRDefault="002A41CE" w:rsidP="00431915">
      <w:r w:rsidRPr="0016478E">
        <w:t>Dans le cas d'utilisation de clés USB, si la clé appartient à la bibliothèque, il est nécessaire de la reformater (supprimer les fichiers après chaque utilisation).</w:t>
      </w:r>
    </w:p>
    <w:p w14:paraId="192A7452" w14:textId="07EE6281" w:rsidR="00B36FFD" w:rsidRPr="0016478E" w:rsidRDefault="002A41CE" w:rsidP="00431915">
      <w:r w:rsidRPr="0016478E">
        <w:rPr>
          <w:b/>
        </w:rPr>
        <w:t>Pour l’information des usagers</w:t>
      </w:r>
      <w:r w:rsidRPr="0016478E">
        <w:t xml:space="preserve"> : vérifier que les mentions légales et les mentions source </w:t>
      </w:r>
      <w:r w:rsidR="00A23D2B" w:rsidRPr="0016478E">
        <w:t>sont</w:t>
      </w:r>
      <w:r w:rsidRPr="0016478E">
        <w:t xml:space="preserve"> indiquées sur le </w:t>
      </w:r>
      <w:r w:rsidR="00A23D2B" w:rsidRPr="0016478E">
        <w:t>fichier</w:t>
      </w:r>
      <w:r w:rsidRPr="0016478E">
        <w:t xml:space="preserve"> numérique adapté.</w:t>
      </w:r>
    </w:p>
    <w:p w14:paraId="4EDB6ECE" w14:textId="77777777" w:rsidR="000F60FE" w:rsidRPr="0016478E" w:rsidRDefault="000F60FE" w:rsidP="00431915"/>
    <w:p w14:paraId="0A1BF390" w14:textId="600DF1DA" w:rsidR="0029286B" w:rsidRPr="0016478E" w:rsidRDefault="002A41CE" w:rsidP="008812ED">
      <w:pPr>
        <w:pStyle w:val="Titre2"/>
        <w:numPr>
          <w:ilvl w:val="1"/>
          <w:numId w:val="10"/>
        </w:numPr>
      </w:pPr>
      <w:r w:rsidRPr="0016478E">
        <w:lastRenderedPageBreak/>
        <w:t>Schéma de fonctionnement de la plateforme P</w:t>
      </w:r>
      <w:r w:rsidR="00700669" w:rsidRPr="0016478E">
        <w:t>laton</w:t>
      </w:r>
    </w:p>
    <w:p w14:paraId="124B1369" w14:textId="2015CD30" w:rsidR="00B85F13" w:rsidRPr="0016478E" w:rsidRDefault="00B36FFD" w:rsidP="00B36FFD">
      <w:r w:rsidRPr="0016478E">
        <w:rPr>
          <w:noProof/>
        </w:rPr>
        <w:drawing>
          <wp:inline distT="0" distB="0" distL="0" distR="0" wp14:anchorId="5DA6262B" wp14:editId="36F1BA32">
            <wp:extent cx="5941060" cy="3916281"/>
            <wp:effectExtent l="0" t="0" r="2540" b="8255"/>
            <wp:docPr id="1" name="Image 1" descr="1. Les organismes présentent un dossier d'habilitation auprès de la Commission exception handicap ;&#10;2. L'habilitation est officielle après parution de l'arrêté au Journal officiel ;&#10;3. Les organismes agréés demandent sur PLATON les fichiers sources des éditeurs ;&#10;4. PLATON transfère aux éditeurs la demande de fichiers sources, qui sont déposés sur sur la plateforme sous 45 jours (versement systématique pour les manuels scolaires) ;&#10;5. Les organismes agréés téléchargent les fichiers éditeurs à partir de PLATON&#10;6 Les organismes réalisent pour les bénéficiaires des adaptations ;&#10;7. Les organismes inscrits et agréés déposent les adaptations numériques sur PLATON ;&#10;8. les organismes inscrits et agréés peuvent récupérer les adaptations réalisées par d'autres organismes sur PLATON." title="Schéma de fonctionnement de la plateforme PLATON (plateforme de transfert des ouvrages numériques) de la Bibliothèque nationale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1060" cy="3916281"/>
                    </a:xfrm>
                    <a:prstGeom prst="rect">
                      <a:avLst/>
                    </a:prstGeom>
                    <a:noFill/>
                    <a:ln>
                      <a:noFill/>
                    </a:ln>
                  </pic:spPr>
                </pic:pic>
              </a:graphicData>
            </a:graphic>
          </wp:inline>
        </w:drawing>
      </w:r>
    </w:p>
    <w:p w14:paraId="7F6D742A" w14:textId="39673911" w:rsidR="00B36FFD" w:rsidRPr="0016478E" w:rsidRDefault="00B36FFD">
      <w:pPr>
        <w:spacing w:after="0" w:line="240" w:lineRule="auto"/>
        <w:jc w:val="left"/>
      </w:pPr>
      <w:r w:rsidRPr="0016478E">
        <w:br w:type="page"/>
      </w:r>
    </w:p>
    <w:p w14:paraId="6F95499E" w14:textId="77777777" w:rsidR="0029286B" w:rsidRPr="0016478E" w:rsidRDefault="002A41CE" w:rsidP="00431915">
      <w:pPr>
        <w:pStyle w:val="Titre1"/>
        <w:numPr>
          <w:ilvl w:val="0"/>
          <w:numId w:val="10"/>
        </w:numPr>
      </w:pPr>
      <w:bookmarkStart w:id="3" w:name="_Toc180589702"/>
      <w:r w:rsidRPr="0016478E">
        <w:lastRenderedPageBreak/>
        <w:t>Les partenariats</w:t>
      </w:r>
      <w:bookmarkEnd w:id="3"/>
    </w:p>
    <w:p w14:paraId="78B4C95B" w14:textId="3FA78328" w:rsidR="007E536E" w:rsidRPr="0016478E" w:rsidRDefault="007E536E" w:rsidP="007E536E">
      <w:pPr>
        <w:pStyle w:val="Paragraphedeliste"/>
        <w:ind w:left="0"/>
      </w:pPr>
      <w:r w:rsidRPr="0016478E">
        <w:t xml:space="preserve">Lorsque la bibliothèque est </w:t>
      </w:r>
      <w:r w:rsidR="007C6261" w:rsidRPr="0016478E">
        <w:t xml:space="preserve">à la </w:t>
      </w:r>
      <w:r w:rsidRPr="0016478E">
        <w:t>tête d</w:t>
      </w:r>
      <w:r w:rsidR="007C6261" w:rsidRPr="0016478E">
        <w:t>’un</w:t>
      </w:r>
      <w:r w:rsidRPr="0016478E">
        <w:t xml:space="preserve"> réseau</w:t>
      </w:r>
      <w:r w:rsidR="007C6261" w:rsidRPr="0016478E">
        <w:t> de lecture publique,</w:t>
      </w:r>
      <w:r w:rsidRPr="0016478E">
        <w:t xml:space="preserve"> ou bénéficie de crédits d’Etat</w:t>
      </w:r>
      <w:r w:rsidR="007C6261" w:rsidRPr="0016478E">
        <w:t>,</w:t>
      </w:r>
      <w:r w:rsidRPr="0016478E">
        <w:t xml:space="preserve"> comme les bibliothèques municipales à vocation régionale (BMVR), les bibliothèques municipales classées (BMC), les bibliothèques numériques de référence (BNR)</w:t>
      </w:r>
      <w:r w:rsidR="00A36F64" w:rsidRPr="0016478E">
        <w:t xml:space="preserve"> ou </w:t>
      </w:r>
      <w:r w:rsidRPr="0016478E">
        <w:t>les bibliothèques départementales,</w:t>
      </w:r>
      <w:r w:rsidR="00A36F64" w:rsidRPr="0016478E">
        <w:t xml:space="preserve"> ainsi que les bibliothèques universitaires</w:t>
      </w:r>
      <w:r w:rsidR="00024119" w:rsidRPr="0016478E">
        <w:t xml:space="preserve"> et d’enseignement supérieur</w:t>
      </w:r>
      <w:r w:rsidR="00A36F64" w:rsidRPr="0016478E">
        <w:t xml:space="preserve">, </w:t>
      </w:r>
      <w:r w:rsidRPr="0016478E">
        <w:t xml:space="preserve">il est </w:t>
      </w:r>
      <w:r w:rsidR="00573DD1" w:rsidRPr="0016478E">
        <w:t xml:space="preserve">fortement </w:t>
      </w:r>
      <w:r w:rsidRPr="0016478E">
        <w:t xml:space="preserve">recommandé </w:t>
      </w:r>
      <w:r w:rsidR="00A36F64" w:rsidRPr="0016478E">
        <w:t xml:space="preserve">que celles-ci </w:t>
      </w:r>
      <w:r w:rsidRPr="0016478E">
        <w:t>s’engagent elles-mêmes dans une démarche d’habilitation pour s’inscrire dans le dispositif de l’</w:t>
      </w:r>
      <w:r w:rsidR="00F67339" w:rsidRPr="0016478E">
        <w:t>Exception au droit d’auteur en faveur des personnes handicapées</w:t>
      </w:r>
      <w:r w:rsidRPr="0016478E">
        <w:t>.</w:t>
      </w:r>
    </w:p>
    <w:p w14:paraId="30C80AAC" w14:textId="4A95A5D0" w:rsidR="008D5F00" w:rsidRPr="0016478E" w:rsidRDefault="00093D43" w:rsidP="00093D43">
      <w:pPr>
        <w:rPr>
          <w:b/>
        </w:rPr>
      </w:pPr>
      <w:r w:rsidRPr="0016478E">
        <w:rPr>
          <w:b/>
        </w:rPr>
        <w:t>Un partenariat avec une association œuvrant pour l’accès au livre et à la lecture des personnes empêchées de lire du fait d’un trouble ou d’</w:t>
      </w:r>
      <w:r w:rsidR="008D5F00" w:rsidRPr="0016478E">
        <w:rPr>
          <w:b/>
        </w:rPr>
        <w:t>un handicap, peut permettre d’augmenter sensiblement son offre de lecture et, le cas échéant, de bénéficier</w:t>
      </w:r>
      <w:r w:rsidR="00125C82" w:rsidRPr="0016478E">
        <w:rPr>
          <w:b/>
        </w:rPr>
        <w:t xml:space="preserve"> d’une expertise et</w:t>
      </w:r>
      <w:r w:rsidR="008D5F00" w:rsidRPr="0016478E">
        <w:rPr>
          <w:b/>
        </w:rPr>
        <w:t xml:space="preserve"> d’un accompagnement professionnel.</w:t>
      </w:r>
    </w:p>
    <w:p w14:paraId="41223593" w14:textId="40525D7E" w:rsidR="00F82372" w:rsidRPr="0016478E" w:rsidRDefault="00B923BF" w:rsidP="00F82372">
      <w:r w:rsidRPr="0016478E">
        <w:rPr>
          <w:b/>
        </w:rPr>
        <w:t>C</w:t>
      </w:r>
      <w:r w:rsidR="002A41CE" w:rsidRPr="0016478E">
        <w:rPr>
          <w:b/>
        </w:rPr>
        <w:t>es partenariats doivent faire l’objet de conventions</w:t>
      </w:r>
      <w:r w:rsidR="002A41CE" w:rsidRPr="0016478E">
        <w:t>, incluant la prise en compte du cadre juridique de l’</w:t>
      </w:r>
      <w:r w:rsidR="00F67339" w:rsidRPr="0016478E">
        <w:t>Exception au droit d’auteur en faveur des personnes handicapées</w:t>
      </w:r>
      <w:r w:rsidR="002A41CE" w:rsidRPr="0016478E">
        <w:t>, dès lors qu’il y a communication, diffusion ou transmission de documents adaptés produits par un autre organisme (par exemple avec l’A</w:t>
      </w:r>
      <w:r w:rsidRPr="0016478E">
        <w:t>ssociation Valentin Haüy</w:t>
      </w:r>
      <w:r w:rsidR="002A41CE" w:rsidRPr="0016478E">
        <w:t>, BrailleNet, le G</w:t>
      </w:r>
      <w:r w:rsidRPr="0016478E">
        <w:t>roupement des Intellectuels Aveugles ou Amblyopes</w:t>
      </w:r>
      <w:r w:rsidR="002A41CE" w:rsidRPr="0016478E">
        <w:t>, l’Association des Donneurs de voix, etc.).</w:t>
      </w:r>
    </w:p>
    <w:p w14:paraId="07F1A044" w14:textId="4859A661" w:rsidR="000E3A2F" w:rsidRPr="0016478E" w:rsidRDefault="000E3A2F" w:rsidP="00F82372">
      <w:r w:rsidRPr="0016478E">
        <w:t>Afin de bénéficier pleinement des nouvelles dispositions de l’Exception handicap, il est recommandé que chacune des parties soit habilitée dans le même régime juridique de l’exception handicap (renouvellement ou première habilitation effectifs à partir du 1</w:t>
      </w:r>
      <w:r w:rsidRPr="0016478E">
        <w:rPr>
          <w:vertAlign w:val="superscript"/>
        </w:rPr>
        <w:t>er</w:t>
      </w:r>
      <w:r w:rsidRPr="0016478E">
        <w:t xml:space="preserve"> mars 2017).</w:t>
      </w:r>
    </w:p>
    <w:p w14:paraId="65B66C40" w14:textId="0B6DDD88" w:rsidR="003455FC" w:rsidRPr="0016478E" w:rsidRDefault="003455FC" w:rsidP="008812ED">
      <w:pPr>
        <w:pStyle w:val="Titre2"/>
        <w:numPr>
          <w:ilvl w:val="0"/>
          <w:numId w:val="0"/>
        </w:numPr>
        <w:ind w:left="1437"/>
      </w:pPr>
      <w:r w:rsidRPr="0016478E">
        <w:t>Le cas des bibliothèques non inscrites</w:t>
      </w:r>
    </w:p>
    <w:p w14:paraId="7A77CA40" w14:textId="77777777" w:rsidR="003455FC" w:rsidRPr="0016478E" w:rsidRDefault="000E3A2F" w:rsidP="000E3A2F">
      <w:r w:rsidRPr="0016478E">
        <w:t xml:space="preserve">Pour les bibliothèques desservant des collectivités de moins de 10 000 habitants, ou les bibliothèques qui souhaitent ne se positionner que comme </w:t>
      </w:r>
      <w:r w:rsidRPr="0016478E">
        <w:rPr>
          <w:b/>
        </w:rPr>
        <w:t>points d’accès</w:t>
      </w:r>
      <w:r w:rsidRPr="0016478E">
        <w:t xml:space="preserve"> à l’offre de lecture adaptée, il reste possible d’établir des partenariats avec des associations œuvrant pour l’accès au livre et à la lecture des personnes empêchées de lire du fait d’un trouble ou d’un handicap.</w:t>
      </w:r>
    </w:p>
    <w:p w14:paraId="2448CD1A" w14:textId="3348C2AD" w:rsidR="000E3A2F" w:rsidRPr="0016478E" w:rsidRDefault="000E3A2F" w:rsidP="000E3A2F">
      <w:r w:rsidRPr="0016478E">
        <w:t xml:space="preserve">Toutefois, les bibliothèques non inscrites ne </w:t>
      </w:r>
      <w:r w:rsidR="00C91281" w:rsidRPr="0016478E">
        <w:t>peuvent</w:t>
      </w:r>
      <w:r w:rsidRPr="0016478E">
        <w:t xml:space="preserve"> pas bénéficier pleinement des nouvelles dispositions de l’Exception handicap, en particulier la </w:t>
      </w:r>
      <w:r w:rsidR="008B40F4" w:rsidRPr="0016478E">
        <w:t xml:space="preserve">possibilité de récupérer </w:t>
      </w:r>
      <w:r w:rsidRPr="0016478E">
        <w:t>des œuvres adapté</w:t>
      </w:r>
      <w:r w:rsidR="00F9316C" w:rsidRPr="0016478E">
        <w:t>e</w:t>
      </w:r>
      <w:r w:rsidRPr="0016478E">
        <w:t xml:space="preserve">s </w:t>
      </w:r>
      <w:r w:rsidR="008B40F4" w:rsidRPr="0016478E">
        <w:t xml:space="preserve">déposées </w:t>
      </w:r>
      <w:r w:rsidRPr="0016478E">
        <w:t>sur Platon.</w:t>
      </w:r>
    </w:p>
    <w:p w14:paraId="6FD609AA" w14:textId="71B64EF8" w:rsidR="000E3A2F" w:rsidRPr="0016478E" w:rsidRDefault="000E3A2F" w:rsidP="00F82372">
      <w:r w:rsidRPr="0016478E">
        <w:t>Les conventions, bilatérales, auront alors pour objet le mandat confié par l’organisme inscrit à la bibliothèque non inscrite pour assurer cette diffusion, à charge pour la bibliothèque de vérifier que les personnes qui demandent l’accès aux documents adaptés sont bien empêchés d’accéder à l’œuvre du fait d’une des déficiences prévues par la loi.</w:t>
      </w:r>
    </w:p>
    <w:p w14:paraId="04F08A97" w14:textId="77777777" w:rsidR="0029286B" w:rsidRPr="0016478E" w:rsidRDefault="002A41CE" w:rsidP="00431915">
      <w:pPr>
        <w:pStyle w:val="Titre1"/>
        <w:numPr>
          <w:ilvl w:val="0"/>
          <w:numId w:val="10"/>
        </w:numPr>
      </w:pPr>
      <w:bookmarkStart w:id="4" w:name="_Toc180589703"/>
      <w:r w:rsidRPr="0016478E">
        <w:t>Les soutiens financiers ou institutionnels</w:t>
      </w:r>
      <w:bookmarkEnd w:id="4"/>
    </w:p>
    <w:p w14:paraId="1B018445" w14:textId="5BF928C6" w:rsidR="0029286B" w:rsidRPr="0016478E" w:rsidRDefault="002A41CE" w:rsidP="00431915">
      <w:r w:rsidRPr="0016478E">
        <w:t>Les bibliothèques territoriales peuvent bénéficier d</w:t>
      </w:r>
      <w:r w:rsidR="00DB7FB5" w:rsidRPr="0016478E">
        <w:t>’</w:t>
      </w:r>
      <w:r w:rsidRPr="0016478E">
        <w:t>aides pour l’accueil des personnes en situation de handicap :</w:t>
      </w:r>
    </w:p>
    <w:p w14:paraId="243C1480" w14:textId="2FBF332E" w:rsidR="0029286B" w:rsidRPr="0016478E" w:rsidRDefault="002A41CE" w:rsidP="00431915">
      <w:pPr>
        <w:pStyle w:val="Paragraphedeliste"/>
        <w:numPr>
          <w:ilvl w:val="0"/>
          <w:numId w:val="6"/>
        </w:numPr>
      </w:pPr>
      <w:r w:rsidRPr="0016478E">
        <w:t xml:space="preserve">Les </w:t>
      </w:r>
      <w:hyperlink r:id="rId20">
        <w:r w:rsidRPr="0016478E">
          <w:rPr>
            <w:rStyle w:val="LienInternet"/>
            <w:rFonts w:cs="Times New Roman"/>
          </w:rPr>
          <w:t>aides à la diffusion du Centre national du livre</w:t>
        </w:r>
      </w:hyperlink>
      <w:r w:rsidRPr="0016478E">
        <w:t xml:space="preserve"> : pour l’acquisition de collections </w:t>
      </w:r>
      <w:r w:rsidR="00CD405B" w:rsidRPr="0016478E">
        <w:t>et</w:t>
      </w:r>
      <w:r w:rsidRPr="0016478E">
        <w:t xml:space="preserve"> de matériels dédiés, ainsi que pour </w:t>
      </w:r>
      <w:r w:rsidR="0003659E" w:rsidRPr="0016478E">
        <w:t>la mise en place d’</w:t>
      </w:r>
      <w:r w:rsidRPr="0016478E">
        <w:t>actions culturelles.</w:t>
      </w:r>
    </w:p>
    <w:p w14:paraId="2FEB2647" w14:textId="0D9B2205" w:rsidR="0029286B" w:rsidRPr="0016478E" w:rsidRDefault="002A41CE" w:rsidP="00431915">
      <w:pPr>
        <w:pStyle w:val="Paragraphedeliste"/>
        <w:numPr>
          <w:ilvl w:val="0"/>
          <w:numId w:val="6"/>
        </w:numPr>
      </w:pPr>
      <w:r w:rsidRPr="0016478E">
        <w:rPr>
          <w:rFonts w:cs="Times New Roman"/>
        </w:rPr>
        <w:t xml:space="preserve">Le </w:t>
      </w:r>
      <w:hyperlink r:id="rId21">
        <w:r w:rsidRPr="0016478E">
          <w:rPr>
            <w:rStyle w:val="LienInternet"/>
            <w:rFonts w:cs="Times New Roman"/>
          </w:rPr>
          <w:t>concours particulier de la Dotation générale de décentralisation</w:t>
        </w:r>
      </w:hyperlink>
      <w:r w:rsidRPr="0016478E">
        <w:rPr>
          <w:rFonts w:cs="Times New Roman"/>
        </w:rPr>
        <w:t xml:space="preserve"> (DGD), notamment dans le cadre du programme des </w:t>
      </w:r>
      <w:r w:rsidRPr="0016478E">
        <w:t>Bibliothèques numériques de référence</w:t>
      </w:r>
      <w:r w:rsidRPr="0016478E">
        <w:rPr>
          <w:rFonts w:cs="Times New Roman"/>
        </w:rPr>
        <w:t xml:space="preserve"> (BNR).</w:t>
      </w:r>
    </w:p>
    <w:p w14:paraId="6B2838F9" w14:textId="77777777" w:rsidR="0029286B" w:rsidRPr="0016478E" w:rsidRDefault="002A41CE" w:rsidP="00431915">
      <w:r w:rsidRPr="0016478E">
        <w:t>Les Universités, dotées de budgets propres, ont pour obligation d’adopter des Schémas pluriannuels du handicap incluant la mise en place de missions « handicap », pour l’accueil et l’accompagnement des étudiants.</w:t>
      </w:r>
    </w:p>
    <w:p w14:paraId="011E97BB" w14:textId="77777777" w:rsidR="0029286B" w:rsidRPr="0016478E" w:rsidRDefault="002A41CE" w:rsidP="00431915">
      <w:pPr>
        <w:pStyle w:val="Titre1"/>
        <w:numPr>
          <w:ilvl w:val="0"/>
          <w:numId w:val="10"/>
        </w:numPr>
      </w:pPr>
      <w:bookmarkStart w:id="5" w:name="_Toc180589704"/>
      <w:r w:rsidRPr="0016478E">
        <w:t>Déposer une demande d’habilitation</w:t>
      </w:r>
      <w:bookmarkEnd w:id="5"/>
    </w:p>
    <w:p w14:paraId="0DAF8A5F" w14:textId="74ADAD69" w:rsidR="0029286B" w:rsidRPr="0016478E" w:rsidRDefault="003F6AAA" w:rsidP="00431915">
      <w:r w:rsidRPr="0016478E">
        <w:rPr>
          <w:color w:val="000000"/>
        </w:rPr>
        <w:t xml:space="preserve">Les demandes d’habilitation se font </w:t>
      </w:r>
      <w:r w:rsidR="00CB2A22">
        <w:rPr>
          <w:color w:val="000000"/>
        </w:rPr>
        <w:t xml:space="preserve">sur Démarches simplifiées. Le formulaire de demande est accessible sur </w:t>
      </w:r>
      <w:r w:rsidR="00CB2A22">
        <w:t xml:space="preserve">la page </w:t>
      </w:r>
      <w:hyperlink r:id="rId22" w:history="1">
        <w:r w:rsidR="00CB2A22" w:rsidRPr="00CB2A22">
          <w:rPr>
            <w:rStyle w:val="Lienhypertexte"/>
          </w:rPr>
          <w:t>Habilitation au titre de l’exception handicap au droit d’auteur</w:t>
        </w:r>
      </w:hyperlink>
      <w:r w:rsidRPr="0016478E">
        <w:rPr>
          <w:color w:val="000000"/>
        </w:rPr>
        <w:t xml:space="preserve"> </w:t>
      </w:r>
      <w:r w:rsidR="00CB2A22">
        <w:rPr>
          <w:color w:val="000000"/>
        </w:rPr>
        <w:t xml:space="preserve">du </w:t>
      </w:r>
      <w:r w:rsidRPr="0016478E">
        <w:rPr>
          <w:color w:val="000000"/>
        </w:rPr>
        <w:t xml:space="preserve">site </w:t>
      </w:r>
      <w:r w:rsidR="002A41CE" w:rsidRPr="0016478E">
        <w:rPr>
          <w:color w:val="000000"/>
        </w:rPr>
        <w:t>du ministère de la Culture.</w:t>
      </w:r>
    </w:p>
    <w:p w14:paraId="15997AD5" w14:textId="790A253E" w:rsidR="008812ED" w:rsidRPr="0016478E" w:rsidRDefault="002A41CE" w:rsidP="003F40F5">
      <w:r w:rsidRPr="0016478E">
        <w:t>Pour toute demande de renseignement, contacter : exception</w:t>
      </w:r>
      <w:r w:rsidR="00A26338" w:rsidRPr="0016478E">
        <w:t>-</w:t>
      </w:r>
      <w:r w:rsidR="0040692B" w:rsidRPr="0016478E">
        <w:t>handicap [at] culture.gouv.fr</w:t>
      </w:r>
    </w:p>
    <w:p w14:paraId="1543A866" w14:textId="77777777" w:rsidR="008812ED" w:rsidRPr="0016478E" w:rsidRDefault="008812ED">
      <w:pPr>
        <w:spacing w:after="0" w:line="240" w:lineRule="auto"/>
        <w:jc w:val="left"/>
      </w:pPr>
      <w:r w:rsidRPr="0016478E">
        <w:lastRenderedPageBreak/>
        <w:br w:type="page"/>
      </w:r>
    </w:p>
    <w:p w14:paraId="15417FB2" w14:textId="2AC47D9A" w:rsidR="008812ED" w:rsidRPr="0016478E" w:rsidRDefault="008812ED" w:rsidP="008812ED">
      <w:pPr>
        <w:pStyle w:val="Titre1"/>
        <w:numPr>
          <w:ilvl w:val="0"/>
          <w:numId w:val="0"/>
        </w:numPr>
      </w:pPr>
      <w:bookmarkStart w:id="6" w:name="_Toc180589705"/>
      <w:r w:rsidRPr="0016478E">
        <w:lastRenderedPageBreak/>
        <w:t>Annexe I : Modèle de charte d’engagement de l’usager (cas général)</w:t>
      </w:r>
      <w:bookmarkEnd w:id="6"/>
    </w:p>
    <w:p w14:paraId="2DD05121" w14:textId="4DF9AFA3" w:rsidR="008812ED" w:rsidRPr="008812ED" w:rsidRDefault="008812ED" w:rsidP="008812ED">
      <w:pPr>
        <w:rPr>
          <w:bCs/>
        </w:rPr>
      </w:pPr>
      <w:r w:rsidRPr="008812ED">
        <w:rPr>
          <w:bCs/>
        </w:rPr>
        <w:t>La présente charte régit les conditions d’utilisation des œuvres adaptées réalisées et communiquées par les services de [nom de l’organisme] à destination de ses usagers empêchés de lire du fait d’un handicap.</w:t>
      </w:r>
    </w:p>
    <w:p w14:paraId="2BC5336F" w14:textId="341BED60" w:rsidR="008812ED" w:rsidRPr="0016478E" w:rsidRDefault="008812ED" w:rsidP="008812ED">
      <w:pPr>
        <w:pStyle w:val="Titre2"/>
      </w:pPr>
      <w:r w:rsidRPr="0016478E">
        <w:t>L’exception au droit d’auteur en faveur des personnes handicapées</w:t>
      </w:r>
    </w:p>
    <w:p w14:paraId="4752F800" w14:textId="77777777" w:rsidR="008812ED" w:rsidRPr="008812ED" w:rsidRDefault="008812ED" w:rsidP="008812ED">
      <w:r w:rsidRPr="008812ED">
        <w:rPr>
          <w:bCs/>
        </w:rPr>
        <w:t>Le droit d’auteur, protégé au titre du code de la propriété intellectuelle, garantit à l’auteur d’une œuvre et ses ayants droit la maîtrise exclusive de la diffusion de ses œuvres. Toute représentation ou reproduction intégrale ou partielle faite sans le consentement de l'auteur ou de ses ayants droit ou ayants cause est alors illicite.  Ce droit contribue à garantir la liberté, la diversité et la pérennité de la création artistique.</w:t>
      </w:r>
    </w:p>
    <w:p w14:paraId="5500E733" w14:textId="77777777" w:rsidR="008812ED" w:rsidRPr="008812ED" w:rsidRDefault="008812ED" w:rsidP="008812ED">
      <w:pPr>
        <w:rPr>
          <w:bCs/>
        </w:rPr>
      </w:pPr>
      <w:r w:rsidRPr="008812ED">
        <w:rPr>
          <w:bCs/>
        </w:rPr>
        <w:t xml:space="preserve">Le code de la propriété intellectuelle prévoit cependant à ses articles </w:t>
      </w:r>
      <w:hyperlink r:id="rId23">
        <w:r w:rsidRPr="008812ED">
          <w:rPr>
            <w:rStyle w:val="Lienhypertexte"/>
          </w:rPr>
          <w:t>L. 122-5</w:t>
        </w:r>
      </w:hyperlink>
      <w:r w:rsidRPr="008812ED">
        <w:rPr>
          <w:u w:val="single"/>
        </w:rPr>
        <w:t>,</w:t>
      </w:r>
      <w:r w:rsidRPr="008812ED">
        <w:t xml:space="preserve"> </w:t>
      </w:r>
      <w:hyperlink r:id="rId24">
        <w:r w:rsidRPr="008812ED">
          <w:rPr>
            <w:rStyle w:val="Lienhypertexte"/>
          </w:rPr>
          <w:t>L. 122-5-1</w:t>
        </w:r>
      </w:hyperlink>
      <w:r w:rsidRPr="008812ED">
        <w:t xml:space="preserve">, </w:t>
      </w:r>
      <w:hyperlink r:id="rId25">
        <w:r w:rsidRPr="008812ED">
          <w:rPr>
            <w:rStyle w:val="Lienhypertexte"/>
          </w:rPr>
          <w:t>L. 122-5-2</w:t>
        </w:r>
      </w:hyperlink>
      <w:r w:rsidRPr="008812ED">
        <w:t xml:space="preserve">  une </w:t>
      </w:r>
      <w:r w:rsidRPr="008812ED">
        <w:rPr>
          <w:bCs/>
        </w:rPr>
        <w:t>exception au droit d’auteur en faveur des personnes en situation de handicap. Cette exception permet à des organismes à but non lucratif de réaliser et de communiquer aux personnes empêchées de lire du fait d’un handicap, des versions adaptées d’œuvres protégées par le droit d’auteur sans autorisation préalable auprès des titulaires des droits ni contrepartie financière.</w:t>
      </w:r>
    </w:p>
    <w:p w14:paraId="3D786D35" w14:textId="7ED3D1A9" w:rsidR="008812ED" w:rsidRPr="008812ED" w:rsidRDefault="008812ED" w:rsidP="008812ED">
      <w:r w:rsidRPr="008812ED">
        <w:t>La consultation de ces documents adaptés est strictement personnelle et réservée aux personnes empêchées de lire du fait d’un handicap.</w:t>
      </w:r>
    </w:p>
    <w:p w14:paraId="50027002" w14:textId="77777777" w:rsidR="008812ED" w:rsidRPr="0016478E" w:rsidRDefault="008812ED" w:rsidP="008812ED">
      <w:pPr>
        <w:pStyle w:val="Titre2"/>
      </w:pPr>
      <w:r w:rsidRPr="0016478E">
        <w:t>Conditions générales d’utilisation des documents adaptés</w:t>
      </w:r>
    </w:p>
    <w:p w14:paraId="0F3EA056" w14:textId="77777777" w:rsidR="008812ED" w:rsidRPr="008812ED" w:rsidRDefault="008812ED" w:rsidP="008812ED">
      <w:r w:rsidRPr="008812ED">
        <w:t xml:space="preserve">Par arrêté interministériel du [date], valable cinq ans, </w:t>
      </w:r>
      <w:r w:rsidRPr="008812ED">
        <w:rPr>
          <w:bCs/>
        </w:rPr>
        <w:t>[nom de l’organisme]</w:t>
      </w:r>
      <w:r w:rsidRPr="008812ED">
        <w:t> :</w:t>
      </w:r>
    </w:p>
    <w:p w14:paraId="7099C04E" w14:textId="77777777" w:rsidR="008812ED" w:rsidRPr="008812ED" w:rsidRDefault="008812ED" w:rsidP="008812ED">
      <w:pPr>
        <w:numPr>
          <w:ilvl w:val="0"/>
          <w:numId w:val="21"/>
        </w:numPr>
      </w:pPr>
      <w:r w:rsidRPr="008812ED">
        <w:t>Est inscrit sur la liste des organismes bénéficiant de l’exception au droit d’auteur en faveur des personnes handicapées. A ce titre, elle est autorisée à produire ou à communiquer des documents adaptés à ses usagers en situation de handicap aux conditions prévues par le code de la propriété intellectuelle ;</w:t>
      </w:r>
    </w:p>
    <w:p w14:paraId="557371F6" w14:textId="77777777" w:rsidR="008812ED" w:rsidRPr="008812ED" w:rsidRDefault="008812ED" w:rsidP="008812ED">
      <w:pPr>
        <w:numPr>
          <w:ilvl w:val="0"/>
          <w:numId w:val="21"/>
        </w:numPr>
      </w:pPr>
      <w:r w:rsidRPr="008812ED">
        <w:t>[Seulement si l’agrément correspondant est accordé à l’organisme] Dispose de l’agrément lui permettant de demander et d’obtenir la mise à disposition par les éditeurs des fichiers numériques des œuvres dont l’adaptation est requise par ses usagers en situation de handicap.</w:t>
      </w:r>
    </w:p>
    <w:p w14:paraId="7FC366E3" w14:textId="77777777" w:rsidR="008812ED" w:rsidRPr="008812ED" w:rsidRDefault="008812ED" w:rsidP="008812ED">
      <w:r w:rsidRPr="008812ED">
        <w:t xml:space="preserve">Le </w:t>
      </w:r>
      <w:r w:rsidRPr="008812ED">
        <w:rPr>
          <w:bCs/>
        </w:rPr>
        <w:t>[nom de l’organisme]</w:t>
      </w:r>
      <w:r w:rsidRPr="008812ED">
        <w:t xml:space="preserve"> atteste de l’éligibilité des usagers à l’utilisation de ce service de communication et d’adaptation d’œuvres sous droit.</w:t>
      </w:r>
    </w:p>
    <w:p w14:paraId="064F05EF" w14:textId="77777777" w:rsidR="008812ED" w:rsidRPr="008812ED" w:rsidRDefault="008812ED" w:rsidP="008812ED">
      <w:r w:rsidRPr="008812ED">
        <w:t xml:space="preserve">Chaque œuvre adaptée est communiquée par le personnel habilité de </w:t>
      </w:r>
      <w:r w:rsidRPr="008812ED">
        <w:rPr>
          <w:bCs/>
        </w:rPr>
        <w:t>[nom de l’organisme]</w:t>
      </w:r>
      <w:r w:rsidRPr="008812ED">
        <w:t xml:space="preserve"> à un seul usager destinataire.</w:t>
      </w:r>
    </w:p>
    <w:p w14:paraId="60D8585C" w14:textId="4F133DC2" w:rsidR="008812ED" w:rsidRPr="008812ED" w:rsidRDefault="008812ED" w:rsidP="008812ED">
      <w:r w:rsidRPr="008812ED">
        <w:t xml:space="preserve">L’usage de l’œuvre adaptée est strictement personnel et réservé aux utilisateurs inscrits dans les [bibliothèques] </w:t>
      </w:r>
      <w:r w:rsidRPr="008812ED">
        <w:rPr>
          <w:bCs/>
        </w:rPr>
        <w:t>[nom de l’organisme]</w:t>
      </w:r>
      <w:r w:rsidRPr="008812ED">
        <w:t>. Le partage ou la diffusion même à titre gratuit du document adapté sous quelque support que ce soit sont strictement interdits et peuvent être civilement et pénalement sanctionnés comme délit de contrefaçon.</w:t>
      </w:r>
    </w:p>
    <w:p w14:paraId="54383A96" w14:textId="0D58A040" w:rsidR="008812ED" w:rsidRPr="008812ED" w:rsidRDefault="008812ED" w:rsidP="008812ED">
      <w:r w:rsidRPr="008812ED">
        <w:t>L’utilisation de ce service est soumise à la signature de la présente charte qui place les documents adaptés sous la responsabilité de leur emprunteur. Pour les adhérents mineurs ou sous tutelle, la présente charte doit être signée par l’un des parents ou un responsable légal.</w:t>
      </w:r>
    </w:p>
    <w:p w14:paraId="0C2C7399" w14:textId="77777777" w:rsidR="008812ED" w:rsidRPr="0016478E" w:rsidRDefault="008812ED" w:rsidP="008812ED">
      <w:pPr>
        <w:pStyle w:val="Titre2"/>
      </w:pPr>
      <w:r w:rsidRPr="0016478E">
        <w:t>Signature de la charte</w:t>
      </w:r>
    </w:p>
    <w:p w14:paraId="205B65AA" w14:textId="77777777" w:rsidR="008812ED" w:rsidRPr="008812ED" w:rsidRDefault="008812ED" w:rsidP="008812ED">
      <w:pPr>
        <w:rPr>
          <w:b/>
          <w:iCs/>
        </w:rPr>
      </w:pPr>
      <w:r w:rsidRPr="008812ED">
        <w:rPr>
          <w:b/>
          <w:iCs/>
        </w:rPr>
        <w:t>Je reconnais avoir pris connaissance des conditions d’utilisation du service contenues dans la présente charte et m’engage à les respecter [sous peine de (compléter le cas échéant)].</w:t>
      </w:r>
    </w:p>
    <w:p w14:paraId="6D57DD42" w14:textId="77777777" w:rsidR="008812ED" w:rsidRPr="008812ED" w:rsidRDefault="008812ED" w:rsidP="008812ED">
      <w:pPr>
        <w:rPr>
          <w:b/>
          <w:iCs/>
        </w:rPr>
      </w:pPr>
    </w:p>
    <w:p w14:paraId="5ED01726" w14:textId="77777777" w:rsidR="008812ED" w:rsidRPr="008812ED" w:rsidRDefault="008812ED" w:rsidP="008812ED">
      <w:r w:rsidRPr="008812ED">
        <w:rPr>
          <w:b/>
          <w:bCs/>
        </w:rPr>
        <w:t xml:space="preserve">NOM, Prénom : </w:t>
      </w:r>
      <w:r w:rsidRPr="008812ED">
        <w:t>.......................................................................................................................</w:t>
      </w:r>
    </w:p>
    <w:p w14:paraId="7014F57A" w14:textId="77777777" w:rsidR="008812ED" w:rsidRPr="008812ED" w:rsidRDefault="008812ED" w:rsidP="008812ED"/>
    <w:p w14:paraId="6F1A4001" w14:textId="77777777" w:rsidR="008812ED" w:rsidRPr="008812ED" w:rsidRDefault="008812ED" w:rsidP="008812ED">
      <w:r w:rsidRPr="008812ED">
        <w:t>[Pour les bibliothèques territoriales :]</w:t>
      </w:r>
    </w:p>
    <w:p w14:paraId="5D165BC6" w14:textId="77777777" w:rsidR="008812ED" w:rsidRPr="008812ED" w:rsidRDefault="008812ED" w:rsidP="008812ED">
      <w:r w:rsidRPr="008812ED">
        <w:t>N° de carte de lecteur : …………………………………………………………………………………………</w:t>
      </w:r>
    </w:p>
    <w:p w14:paraId="3DCBAD0C" w14:textId="77777777" w:rsidR="008812ED" w:rsidRPr="008812ED" w:rsidRDefault="008812ED" w:rsidP="008812ED">
      <w:r w:rsidRPr="008812ED">
        <w:t>Type de justificatif présenté : ……………………………………………………………………………….</w:t>
      </w:r>
    </w:p>
    <w:p w14:paraId="49BA7156" w14:textId="77777777" w:rsidR="008812ED" w:rsidRPr="008812ED" w:rsidRDefault="008812ED" w:rsidP="008812ED"/>
    <w:p w14:paraId="109AD121" w14:textId="77777777" w:rsidR="008812ED" w:rsidRPr="008812ED" w:rsidRDefault="008812ED" w:rsidP="008812ED">
      <w:r w:rsidRPr="008812ED">
        <w:t>[Pour les Universités :]</w:t>
      </w:r>
    </w:p>
    <w:p w14:paraId="1E558D26" w14:textId="77777777" w:rsidR="008812ED" w:rsidRPr="008812ED" w:rsidRDefault="008812ED" w:rsidP="008812ED">
      <w:r w:rsidRPr="008812ED">
        <w:t>Cocher le statut vous concernant et ajouter les informations complémentaires :</w:t>
      </w:r>
    </w:p>
    <w:tbl>
      <w:tblPr>
        <w:tblStyle w:val="Grilledutableau"/>
        <w:tblW w:w="9062" w:type="dxa"/>
        <w:tblInd w:w="0" w:type="dxa"/>
        <w:tblLook w:val="04A0" w:firstRow="1" w:lastRow="0" w:firstColumn="1" w:lastColumn="0" w:noHBand="0" w:noVBand="1"/>
      </w:tblPr>
      <w:tblGrid>
        <w:gridCol w:w="3035"/>
        <w:gridCol w:w="3276"/>
        <w:gridCol w:w="3035"/>
      </w:tblGrid>
      <w:tr w:rsidR="008812ED" w:rsidRPr="008812ED" w14:paraId="2DE307A7" w14:textId="77777777" w:rsidTr="001C3763">
        <w:tc>
          <w:tcPr>
            <w:tcW w:w="3006" w:type="dxa"/>
            <w:shd w:val="clear" w:color="auto" w:fill="auto"/>
            <w:tcMar>
              <w:left w:w="108" w:type="dxa"/>
            </w:tcMar>
          </w:tcPr>
          <w:p w14:paraId="53149A15" w14:textId="77777777" w:rsidR="008812ED" w:rsidRPr="008812ED" w:rsidRDefault="008812ED" w:rsidP="008812ED">
            <w:r w:rsidRPr="008812ED">
              <w:rPr>
                <w:noProof/>
              </w:rPr>
              <mc:AlternateContent>
                <mc:Choice Requires="wps">
                  <w:drawing>
                    <wp:anchor distT="0" distB="0" distL="114300" distR="114300" simplePos="0" relativeHeight="251661312" behindDoc="0" locked="0" layoutInCell="1" allowOverlap="1" wp14:anchorId="782ED1CB" wp14:editId="37334D2F">
                      <wp:simplePos x="0" y="0"/>
                      <wp:positionH relativeFrom="column">
                        <wp:posOffset>1500505</wp:posOffset>
                      </wp:positionH>
                      <wp:positionV relativeFrom="paragraph">
                        <wp:posOffset>45720</wp:posOffset>
                      </wp:positionV>
                      <wp:extent cx="133985" cy="133985"/>
                      <wp:effectExtent l="0" t="0" r="19050" b="19050"/>
                      <wp:wrapNone/>
                      <wp:docPr id="2" name="Rectangle 7"/>
                      <wp:cNvGraphicFramePr/>
                      <a:graphic xmlns:a="http://schemas.openxmlformats.org/drawingml/2006/main">
                        <a:graphicData uri="http://schemas.microsoft.com/office/word/2010/wordprocessingShape">
                          <wps:wsp>
                            <wps:cNvSpPr/>
                            <wps:spPr>
                              <a:xfrm>
                                <a:off x="0" y="0"/>
                                <a:ext cx="133200" cy="133200"/>
                              </a:xfrm>
                              <a:prstGeom prst="rect">
                                <a:avLst/>
                              </a:prstGeom>
                              <a:ln>
                                <a:round/>
                              </a:ln>
                            </wps:spPr>
                            <wps:style>
                              <a:lnRef idx="2">
                                <a:schemeClr val="dk1"/>
                              </a:lnRef>
                              <a:fillRef idx="1">
                                <a:schemeClr val="lt1"/>
                              </a:fillRef>
                              <a:effectRef idx="0">
                                <a:schemeClr val="dk1"/>
                              </a:effectRef>
                              <a:fontRef idx="minor"/>
                            </wps:style>
                            <wps:bodyPr/>
                          </wps:wsp>
                        </a:graphicData>
                      </a:graphic>
                    </wp:anchor>
                  </w:drawing>
                </mc:Choice>
                <mc:Fallback>
                  <w:pict>
                    <v:rect w14:anchorId="6337097A" id="Rectangle 7" o:spid="_x0000_s1026" style="position:absolute;margin-left:118.15pt;margin-top:3.6pt;width:10.55pt;height:1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" fillcolor="white [3201]" strokecolor="black [3200]" strokeweight="2pt">
                      <v:stroke joinstyle="round"/>
                    </v:rect>
                  </w:pict>
                </mc:Fallback>
              </mc:AlternateContent>
            </w:r>
            <w:r w:rsidRPr="008812ED">
              <w:t xml:space="preserve">Étudiant : </w:t>
            </w:r>
          </w:p>
        </w:tc>
        <w:tc>
          <w:tcPr>
            <w:tcW w:w="3048" w:type="dxa"/>
            <w:shd w:val="clear" w:color="auto" w:fill="auto"/>
            <w:tcMar>
              <w:left w:w="108" w:type="dxa"/>
            </w:tcMar>
          </w:tcPr>
          <w:p w14:paraId="58680912" w14:textId="77777777" w:rsidR="008812ED" w:rsidRPr="008812ED" w:rsidRDefault="008812ED" w:rsidP="008812ED">
            <w:r w:rsidRPr="008812ED">
              <w:rPr>
                <w:noProof/>
              </w:rPr>
              <mc:AlternateContent>
                <mc:Choice Requires="wps">
                  <w:drawing>
                    <wp:anchor distT="0" distB="0" distL="114300" distR="114300" simplePos="0" relativeHeight="251659264" behindDoc="0" locked="0" layoutInCell="1" allowOverlap="1" wp14:anchorId="4624E867" wp14:editId="10F49994">
                      <wp:simplePos x="0" y="0"/>
                      <wp:positionH relativeFrom="column">
                        <wp:posOffset>1503680</wp:posOffset>
                      </wp:positionH>
                      <wp:positionV relativeFrom="paragraph">
                        <wp:posOffset>45720</wp:posOffset>
                      </wp:positionV>
                      <wp:extent cx="133985" cy="133985"/>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3200" cy="133200"/>
                              </a:xfrm>
                              <a:prstGeom prst="rect">
                                <a:avLst/>
                              </a:prstGeom>
                              <a:ln>
                                <a:round/>
                              </a:ln>
                            </wps:spPr>
                            <wps:style>
                              <a:lnRef idx="2">
                                <a:schemeClr val="dk1"/>
                              </a:lnRef>
                              <a:fillRef idx="1">
                                <a:schemeClr val="lt1"/>
                              </a:fillRef>
                              <a:effectRef idx="0">
                                <a:schemeClr val="dk1"/>
                              </a:effectRef>
                              <a:fontRef idx="minor"/>
                            </wps:style>
                            <wps:bodyPr/>
                          </wps:wsp>
                        </a:graphicData>
                      </a:graphic>
                    </wp:anchor>
                  </w:drawing>
                </mc:Choice>
                <mc:Fallback>
                  <w:pict>
                    <v:rect w14:anchorId="2B30C206" id="Rectangle 3" o:spid="_x0000_s1026" style="position:absolute;margin-left:118.4pt;margin-top:3.6pt;width:10.55pt;height: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" fillcolor="white [3201]" strokecolor="black [3200]" strokeweight="2pt">
                      <v:stroke joinstyle="round"/>
                    </v:rect>
                  </w:pict>
                </mc:Fallback>
              </mc:AlternateContent>
            </w:r>
            <w:r w:rsidRPr="008812ED">
              <w:t xml:space="preserve">Personnel :   </w:t>
            </w:r>
          </w:p>
        </w:tc>
        <w:tc>
          <w:tcPr>
            <w:tcW w:w="3008" w:type="dxa"/>
            <w:shd w:val="clear" w:color="auto" w:fill="auto"/>
            <w:tcMar>
              <w:left w:w="108" w:type="dxa"/>
            </w:tcMar>
          </w:tcPr>
          <w:p w14:paraId="2A30D188" w14:textId="77777777" w:rsidR="008812ED" w:rsidRPr="008812ED" w:rsidRDefault="008812ED" w:rsidP="008812ED">
            <w:r w:rsidRPr="008812ED">
              <w:rPr>
                <w:noProof/>
              </w:rPr>
              <mc:AlternateContent>
                <mc:Choice Requires="wps">
                  <w:drawing>
                    <wp:anchor distT="0" distB="0" distL="114300" distR="114300" simplePos="0" relativeHeight="251660288" behindDoc="0" locked="0" layoutInCell="1" allowOverlap="1" wp14:anchorId="12B4744C" wp14:editId="2FDE3D8F">
                      <wp:simplePos x="0" y="0"/>
                      <wp:positionH relativeFrom="column">
                        <wp:posOffset>1572895</wp:posOffset>
                      </wp:positionH>
                      <wp:positionV relativeFrom="paragraph">
                        <wp:posOffset>45720</wp:posOffset>
                      </wp:positionV>
                      <wp:extent cx="133985" cy="133985"/>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200" cy="133200"/>
                              </a:xfrm>
                              <a:prstGeom prst="rect">
                                <a:avLst/>
                              </a:prstGeom>
                              <a:ln>
                                <a:round/>
                              </a:ln>
                            </wps:spPr>
                            <wps:style>
                              <a:lnRef idx="2">
                                <a:schemeClr val="dk1"/>
                              </a:lnRef>
                              <a:fillRef idx="1">
                                <a:schemeClr val="lt1"/>
                              </a:fillRef>
                              <a:effectRef idx="0">
                                <a:schemeClr val="dk1"/>
                              </a:effectRef>
                              <a:fontRef idx="minor"/>
                            </wps:style>
                            <wps:bodyPr/>
                          </wps:wsp>
                        </a:graphicData>
                      </a:graphic>
                    </wp:anchor>
                  </w:drawing>
                </mc:Choice>
                <mc:Fallback>
                  <w:pict>
                    <v:rect w14:anchorId="0BC28DF8" id="Rectangle 4" o:spid="_x0000_s1026" style="position:absolute;margin-left:123.85pt;margin-top:3.6pt;width:10.55pt;height:1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" fillcolor="white [3201]" strokecolor="black [3200]" strokeweight="2pt">
                      <v:stroke joinstyle="round"/>
                    </v:rect>
                  </w:pict>
                </mc:Fallback>
              </mc:AlternateContent>
            </w:r>
            <w:r w:rsidRPr="008812ED">
              <w:t xml:space="preserve">Personne extérieure : </w:t>
            </w:r>
          </w:p>
        </w:tc>
      </w:tr>
      <w:tr w:rsidR="008812ED" w:rsidRPr="008812ED" w14:paraId="726914F6" w14:textId="77777777" w:rsidTr="001C3763">
        <w:tc>
          <w:tcPr>
            <w:tcW w:w="3006" w:type="dxa"/>
            <w:shd w:val="clear" w:color="auto" w:fill="auto"/>
            <w:tcMar>
              <w:left w:w="108" w:type="dxa"/>
            </w:tcMar>
          </w:tcPr>
          <w:p w14:paraId="79A962D0" w14:textId="77777777" w:rsidR="008812ED" w:rsidRPr="008812ED" w:rsidRDefault="008812ED" w:rsidP="008812ED">
            <w:r w:rsidRPr="008812ED">
              <w:t>N° de carte étudiant :</w:t>
            </w:r>
          </w:p>
          <w:p w14:paraId="7240BAE6" w14:textId="77777777" w:rsidR="008812ED" w:rsidRPr="008812ED" w:rsidRDefault="008812ED" w:rsidP="008812ED">
            <w:r w:rsidRPr="008812ED">
              <w:t>………………………………………</w:t>
            </w:r>
          </w:p>
        </w:tc>
        <w:tc>
          <w:tcPr>
            <w:tcW w:w="3048" w:type="dxa"/>
            <w:shd w:val="clear" w:color="auto" w:fill="auto"/>
            <w:tcMar>
              <w:left w:w="108" w:type="dxa"/>
            </w:tcMar>
          </w:tcPr>
          <w:p w14:paraId="384EF4C7" w14:textId="77777777" w:rsidR="008812ED" w:rsidRPr="008812ED" w:rsidRDefault="008812ED" w:rsidP="008812ED">
            <w:r w:rsidRPr="008812ED">
              <w:t>N° de carte personnel :</w:t>
            </w:r>
          </w:p>
          <w:p w14:paraId="48114D6F" w14:textId="77777777" w:rsidR="008812ED" w:rsidRPr="008812ED" w:rsidRDefault="008812ED" w:rsidP="008812ED">
            <w:r w:rsidRPr="008812ED">
              <w:t>………………………………………….</w:t>
            </w:r>
          </w:p>
        </w:tc>
        <w:tc>
          <w:tcPr>
            <w:tcW w:w="3008" w:type="dxa"/>
            <w:shd w:val="clear" w:color="auto" w:fill="auto"/>
            <w:tcMar>
              <w:left w:w="108" w:type="dxa"/>
            </w:tcMar>
          </w:tcPr>
          <w:p w14:paraId="5AD47EAE" w14:textId="77777777" w:rsidR="008812ED" w:rsidRPr="008812ED" w:rsidRDefault="008812ED" w:rsidP="008812ED">
            <w:r w:rsidRPr="008812ED">
              <w:t>N° d’adhérent extérieur</w:t>
            </w:r>
          </w:p>
          <w:p w14:paraId="250CAD82" w14:textId="77777777" w:rsidR="008812ED" w:rsidRPr="008812ED" w:rsidRDefault="008812ED" w:rsidP="008812ED">
            <w:r w:rsidRPr="008812ED">
              <w:t>………………………………………</w:t>
            </w:r>
          </w:p>
        </w:tc>
      </w:tr>
    </w:tbl>
    <w:p w14:paraId="44561F2C" w14:textId="77777777" w:rsidR="008812ED" w:rsidRPr="008812ED" w:rsidRDefault="008812ED" w:rsidP="008812ED"/>
    <w:p w14:paraId="36F6B3ED" w14:textId="77777777" w:rsidR="008812ED" w:rsidRPr="008812ED" w:rsidRDefault="008812ED" w:rsidP="008812ED"/>
    <w:p w14:paraId="316155E1" w14:textId="77777777" w:rsidR="008812ED" w:rsidRPr="008812ED" w:rsidRDefault="008812ED" w:rsidP="008812ED"/>
    <w:p w14:paraId="7E2856DA" w14:textId="77777777" w:rsidR="008812ED" w:rsidRPr="008812ED" w:rsidRDefault="008812ED" w:rsidP="008812ED"/>
    <w:p w14:paraId="6C98D949" w14:textId="77777777" w:rsidR="008812ED" w:rsidRPr="008812ED" w:rsidRDefault="008812ED" w:rsidP="008812ED">
      <w:r w:rsidRPr="008812ED">
        <w:rPr>
          <w:b/>
          <w:bCs/>
        </w:rPr>
        <w:t xml:space="preserve">Fait à [lieu], le </w:t>
      </w:r>
      <w:r w:rsidRPr="008812ED">
        <w:t>… / … / .........</w:t>
      </w:r>
    </w:p>
    <w:p w14:paraId="3ED4BB88" w14:textId="77777777" w:rsidR="008812ED" w:rsidRPr="008812ED" w:rsidRDefault="008812ED" w:rsidP="008812ED">
      <w:pPr>
        <w:rPr>
          <w:b/>
          <w:bCs/>
        </w:rPr>
      </w:pPr>
      <w:r w:rsidRPr="008812ED">
        <w:rPr>
          <w:b/>
          <w:bCs/>
        </w:rPr>
        <w:t>Signature précédée de la mention « lu et approuvé »</w:t>
      </w:r>
    </w:p>
    <w:p w14:paraId="022B2D8C" w14:textId="77777777" w:rsidR="008812ED" w:rsidRPr="008812ED" w:rsidRDefault="008812ED" w:rsidP="008812ED">
      <w:pPr>
        <w:rPr>
          <w:b/>
          <w:bCs/>
        </w:rPr>
      </w:pPr>
    </w:p>
    <w:p w14:paraId="4D7EFEDE" w14:textId="77777777" w:rsidR="008812ED" w:rsidRPr="008812ED" w:rsidRDefault="008812ED" w:rsidP="008812ED">
      <w:r w:rsidRPr="008812ED">
        <w:t>Les informations recueillies sur ce formulaire sont enregistrées dans un fichier informatisé par : </w:t>
      </w:r>
      <w:r w:rsidRPr="008812ED">
        <w:rPr>
          <w:b/>
          <w:bCs/>
        </w:rPr>
        <w:t xml:space="preserve">[responsable_de_traitement] </w:t>
      </w:r>
      <w:r w:rsidRPr="008812ED">
        <w:t>pour </w:t>
      </w:r>
      <w:r w:rsidRPr="008812ED">
        <w:rPr>
          <w:b/>
          <w:bCs/>
        </w:rPr>
        <w:t>[finalites_du_traitement].</w:t>
      </w:r>
    </w:p>
    <w:p w14:paraId="1C046E88" w14:textId="77777777" w:rsidR="008812ED" w:rsidRPr="008812ED" w:rsidRDefault="008812ED" w:rsidP="008812ED">
      <w:r w:rsidRPr="008812ED">
        <w:t>Elles sont conservées pendant</w:t>
      </w:r>
      <w:r w:rsidRPr="008812ED">
        <w:rPr>
          <w:b/>
          <w:bCs/>
        </w:rPr>
        <w:t xml:space="preserve"> [duree_de_conservation] </w:t>
      </w:r>
      <w:r w:rsidRPr="008812ED">
        <w:t>et sont destinées à :</w:t>
      </w:r>
    </w:p>
    <w:p w14:paraId="711126C1" w14:textId="77777777" w:rsidR="008812ED" w:rsidRPr="008812ED" w:rsidRDefault="008812ED" w:rsidP="008812ED">
      <w:r w:rsidRPr="008812ED">
        <w:rPr>
          <w:b/>
          <w:bCs/>
        </w:rPr>
        <w:t>[destinataires_des_donnees]</w:t>
      </w:r>
    </w:p>
    <w:p w14:paraId="3A08A1AA" w14:textId="77777777" w:rsidR="008812ED" w:rsidRPr="008812ED" w:rsidRDefault="008812ED" w:rsidP="008812ED">
      <w:r w:rsidRPr="008812ED">
        <w:t xml:space="preserve">Conformément à la loi </w:t>
      </w:r>
      <w:r w:rsidRPr="008812ED">
        <w:rPr>
          <w:b/>
          <w:bCs/>
        </w:rPr>
        <w:t>n° 78-17 du 6 janvier 1978 relative à l'informatique, aux fichiers et aux libertés</w:t>
      </w:r>
      <w:r w:rsidRPr="008812ED">
        <w:t>, vous pouvez exercer votre droit d'accès aux données vous concernant et les faire rectifier en contactant : </w:t>
      </w:r>
      <w:r w:rsidRPr="008812ED">
        <w:rPr>
          <w:b/>
          <w:bCs/>
        </w:rPr>
        <w:t>[service_charge_du_droit_dacces].</w:t>
      </w:r>
    </w:p>
    <w:p w14:paraId="2480B771" w14:textId="1C0873DF" w:rsidR="008812ED" w:rsidRPr="0016478E" w:rsidRDefault="008812ED">
      <w:pPr>
        <w:spacing w:after="0" w:line="240" w:lineRule="auto"/>
        <w:jc w:val="left"/>
      </w:pPr>
      <w:r w:rsidRPr="0016478E">
        <w:br w:type="page"/>
      </w:r>
    </w:p>
    <w:p w14:paraId="5A0E0E79" w14:textId="6BE00A43" w:rsidR="00F150A8" w:rsidRPr="0016478E" w:rsidRDefault="00F150A8" w:rsidP="00F150A8">
      <w:pPr>
        <w:pStyle w:val="Titre1"/>
        <w:numPr>
          <w:ilvl w:val="0"/>
          <w:numId w:val="0"/>
        </w:numPr>
        <w:rPr>
          <w:color w:val="00B050"/>
        </w:rPr>
      </w:pPr>
      <w:bookmarkStart w:id="7" w:name="_Toc180589706"/>
      <w:r w:rsidRPr="0016478E">
        <w:rPr>
          <w:color w:val="000000"/>
        </w:rPr>
        <w:lastRenderedPageBreak/>
        <w:t>Annexe II : modèle de charte d’engagement de l’usager (version FALC)</w:t>
      </w:r>
      <w:bookmarkEnd w:id="7"/>
    </w:p>
    <w:p w14:paraId="684E0C79" w14:textId="77777777" w:rsidR="00F150A8" w:rsidRPr="0016478E" w:rsidRDefault="00F150A8" w:rsidP="00F150A8">
      <w:pPr>
        <w:spacing w:after="0" w:line="360" w:lineRule="auto"/>
        <w:rPr>
          <w:rFonts w:ascii="Verdana" w:hAnsi="Verdana"/>
          <w:color w:val="000000"/>
          <w:sz w:val="24"/>
        </w:rPr>
      </w:pPr>
    </w:p>
    <w:p w14:paraId="154179F7" w14:textId="77777777" w:rsidR="00F150A8" w:rsidRPr="0016478E" w:rsidRDefault="00F150A8" w:rsidP="00F150A8">
      <w:pPr>
        <w:spacing w:after="0" w:line="360" w:lineRule="auto"/>
        <w:rPr>
          <w:color w:val="000000"/>
        </w:rPr>
      </w:pPr>
      <w:r w:rsidRPr="0016478E">
        <w:rPr>
          <w:rFonts w:ascii="Verdana" w:hAnsi="Verdana"/>
          <w:color w:val="000000"/>
          <w:sz w:val="24"/>
        </w:rPr>
        <w:t xml:space="preserve">Ce texte explique les règles pour que la bibliothèque </w:t>
      </w:r>
      <w:r w:rsidRPr="0016478E">
        <w:rPr>
          <w:rFonts w:cs="Calibri,Bold"/>
          <w:bCs/>
          <w:color w:val="000000"/>
          <w:sz w:val="24"/>
          <w:szCs w:val="24"/>
        </w:rPr>
        <w:t>[</w:t>
      </w:r>
      <w:r w:rsidRPr="0016478E">
        <w:rPr>
          <w:rFonts w:cs="Calibri,Bold"/>
          <w:bCs/>
          <w:color w:val="000000"/>
          <w:sz w:val="24"/>
          <w:szCs w:val="24"/>
          <w:highlight w:val="yellow"/>
        </w:rPr>
        <w:t>nom de la bibliothèque</w:t>
      </w:r>
      <w:r w:rsidRPr="0016478E">
        <w:rPr>
          <w:rFonts w:cs="Calibri,Bold"/>
          <w:bCs/>
          <w:color w:val="000000"/>
          <w:sz w:val="24"/>
          <w:szCs w:val="24"/>
        </w:rPr>
        <w:t xml:space="preserve">] </w:t>
      </w:r>
      <w:r w:rsidRPr="0016478E">
        <w:rPr>
          <w:rFonts w:ascii="Verdana" w:hAnsi="Verdana"/>
          <w:color w:val="000000"/>
          <w:sz w:val="24"/>
        </w:rPr>
        <w:t>:</w:t>
      </w:r>
    </w:p>
    <w:p w14:paraId="0BF0C3D0" w14:textId="77777777" w:rsidR="00F150A8" w:rsidRPr="0016478E" w:rsidRDefault="00F150A8" w:rsidP="00F150A8">
      <w:pPr>
        <w:pStyle w:val="Paragraphedeliste"/>
        <w:keepNext/>
        <w:numPr>
          <w:ilvl w:val="0"/>
          <w:numId w:val="24"/>
        </w:numPr>
        <w:suppressAutoHyphens/>
        <w:spacing w:after="0" w:line="360" w:lineRule="auto"/>
        <w:jc w:val="left"/>
        <w:rPr>
          <w:color w:val="000000"/>
        </w:rPr>
      </w:pPr>
      <w:r w:rsidRPr="0016478E">
        <w:rPr>
          <w:rFonts w:ascii="Verdana" w:hAnsi="Verdana"/>
          <w:color w:val="000000"/>
          <w:sz w:val="24"/>
        </w:rPr>
        <w:t>adapte des documents (livres, revues…),</w:t>
      </w:r>
    </w:p>
    <w:p w14:paraId="2E94B631" w14:textId="77777777" w:rsidR="00F150A8" w:rsidRPr="0016478E" w:rsidRDefault="00F150A8" w:rsidP="00F150A8">
      <w:pPr>
        <w:pStyle w:val="Paragraphedeliste"/>
        <w:keepNext/>
        <w:numPr>
          <w:ilvl w:val="0"/>
          <w:numId w:val="24"/>
        </w:numPr>
        <w:suppressAutoHyphens/>
        <w:spacing w:after="0" w:line="360" w:lineRule="auto"/>
        <w:jc w:val="left"/>
        <w:rPr>
          <w:color w:val="000000"/>
        </w:rPr>
      </w:pPr>
      <w:r w:rsidRPr="0016478E">
        <w:rPr>
          <w:rFonts w:ascii="Verdana" w:hAnsi="Verdana"/>
          <w:color w:val="000000"/>
          <w:sz w:val="24"/>
        </w:rPr>
        <w:t>prête des documents adaptés à des personnes qui ont des difficultés pour lire à cause d’un trouble ou d’un handicap.</w:t>
      </w:r>
    </w:p>
    <w:p w14:paraId="1A1E2F0C" w14:textId="77777777" w:rsidR="00F150A8" w:rsidRPr="0016478E" w:rsidRDefault="00F150A8" w:rsidP="00F150A8">
      <w:pPr>
        <w:spacing w:after="0" w:line="360" w:lineRule="auto"/>
        <w:rPr>
          <w:rFonts w:ascii="Verdana" w:hAnsi="Verdana"/>
          <w:color w:val="000000"/>
          <w:sz w:val="24"/>
        </w:rPr>
      </w:pPr>
    </w:p>
    <w:p w14:paraId="12FFB083" w14:textId="77777777" w:rsidR="00F150A8" w:rsidRPr="0016478E" w:rsidRDefault="00F150A8" w:rsidP="00F150A8">
      <w:pPr>
        <w:spacing w:after="0" w:line="360" w:lineRule="auto"/>
        <w:rPr>
          <w:color w:val="000000"/>
        </w:rPr>
      </w:pPr>
      <w:r w:rsidRPr="0016478E">
        <w:rPr>
          <w:rFonts w:ascii="Verdana" w:hAnsi="Verdana"/>
          <w:color w:val="000000"/>
          <w:sz w:val="24"/>
        </w:rPr>
        <w:t>La loi dit :</w:t>
      </w:r>
    </w:p>
    <w:p w14:paraId="76233A33" w14:textId="77777777" w:rsidR="00F150A8" w:rsidRPr="0016478E" w:rsidRDefault="00F150A8" w:rsidP="00F150A8">
      <w:pPr>
        <w:pStyle w:val="Paragraphedeliste"/>
        <w:keepNext/>
        <w:numPr>
          <w:ilvl w:val="0"/>
          <w:numId w:val="22"/>
        </w:numPr>
        <w:suppressAutoHyphens/>
        <w:spacing w:after="0" w:line="360" w:lineRule="auto"/>
        <w:jc w:val="left"/>
        <w:rPr>
          <w:rFonts w:ascii="Verdana" w:hAnsi="Verdana"/>
          <w:sz w:val="24"/>
        </w:rPr>
      </w:pPr>
      <w:r w:rsidRPr="0016478E">
        <w:rPr>
          <w:rFonts w:ascii="Verdana" w:hAnsi="Verdana"/>
          <w:color w:val="000000"/>
          <w:sz w:val="24"/>
        </w:rPr>
        <w:t>On ne peut pas copier un document sans l’accord de l’auteur ou de l’éditeur.</w:t>
      </w:r>
    </w:p>
    <w:p w14:paraId="407CA19A" w14:textId="77777777" w:rsidR="00F150A8" w:rsidRPr="0016478E" w:rsidRDefault="00F150A8" w:rsidP="00F150A8">
      <w:pPr>
        <w:pStyle w:val="Paragraphedeliste"/>
        <w:keepNext/>
        <w:numPr>
          <w:ilvl w:val="0"/>
          <w:numId w:val="22"/>
        </w:numPr>
        <w:suppressAutoHyphens/>
        <w:spacing w:after="0" w:line="360" w:lineRule="auto"/>
        <w:jc w:val="left"/>
        <w:rPr>
          <w:rFonts w:ascii="Verdana" w:hAnsi="Verdana"/>
          <w:sz w:val="24"/>
        </w:rPr>
      </w:pPr>
      <w:r w:rsidRPr="0016478E">
        <w:rPr>
          <w:rFonts w:ascii="Verdana" w:hAnsi="Verdana"/>
          <w:color w:val="000000"/>
          <w:sz w:val="24"/>
        </w:rPr>
        <w:t>On ne peut pas transformer un document sans l’accord de l’auteur ou de l’éditeur.</w:t>
      </w:r>
    </w:p>
    <w:p w14:paraId="08505A27" w14:textId="77777777" w:rsidR="00F150A8" w:rsidRPr="0016478E" w:rsidRDefault="00F150A8" w:rsidP="00F150A8">
      <w:pPr>
        <w:spacing w:after="0" w:line="360" w:lineRule="auto"/>
        <w:rPr>
          <w:rFonts w:ascii="Verdana" w:hAnsi="Verdana"/>
          <w:sz w:val="24"/>
        </w:rPr>
      </w:pPr>
      <w:r w:rsidRPr="0016478E">
        <w:rPr>
          <w:rFonts w:ascii="Verdana" w:hAnsi="Verdana"/>
          <w:color w:val="000000"/>
          <w:sz w:val="24"/>
        </w:rPr>
        <w:t xml:space="preserve">C’est le </w:t>
      </w:r>
      <w:r w:rsidRPr="0016478E">
        <w:rPr>
          <w:rFonts w:ascii="Verdana" w:hAnsi="Verdana"/>
          <w:b/>
          <w:color w:val="000000"/>
          <w:sz w:val="24"/>
        </w:rPr>
        <w:t>droit d’auteur</w:t>
      </w:r>
      <w:r w:rsidRPr="0016478E">
        <w:rPr>
          <w:rFonts w:ascii="Verdana" w:hAnsi="Verdana"/>
          <w:color w:val="000000"/>
          <w:sz w:val="24"/>
        </w:rPr>
        <w:t>, pour protéger la création artistique.</w:t>
      </w:r>
    </w:p>
    <w:p w14:paraId="0D9F4F68" w14:textId="77777777" w:rsidR="00F150A8" w:rsidRPr="0016478E" w:rsidRDefault="00F150A8" w:rsidP="00F150A8">
      <w:pPr>
        <w:spacing w:after="0" w:line="360" w:lineRule="auto"/>
        <w:rPr>
          <w:rFonts w:ascii="Verdana" w:hAnsi="Verdana"/>
          <w:color w:val="000000"/>
          <w:sz w:val="24"/>
        </w:rPr>
      </w:pPr>
    </w:p>
    <w:p w14:paraId="33B5F5F7" w14:textId="77777777" w:rsidR="00F150A8" w:rsidRPr="0016478E" w:rsidRDefault="00F150A8" w:rsidP="00F150A8">
      <w:pPr>
        <w:spacing w:after="0" w:line="360" w:lineRule="auto"/>
        <w:rPr>
          <w:rFonts w:ascii="Verdana" w:hAnsi="Verdana"/>
          <w:sz w:val="24"/>
        </w:rPr>
      </w:pPr>
      <w:r w:rsidRPr="0016478E">
        <w:rPr>
          <w:rFonts w:ascii="Verdana" w:hAnsi="Verdana"/>
          <w:color w:val="000000"/>
          <w:sz w:val="24"/>
        </w:rPr>
        <w:t>Mais il y a des personnes qui ne peuvent pas bien lire à cause d’un handicap, par exemple des personnes aveugles, sourdes ou dyslexiques.</w:t>
      </w:r>
    </w:p>
    <w:p w14:paraId="66A9CC82" w14:textId="77777777" w:rsidR="00F150A8" w:rsidRPr="0016478E" w:rsidRDefault="00F150A8" w:rsidP="00F150A8">
      <w:pPr>
        <w:spacing w:after="0" w:line="360" w:lineRule="auto"/>
        <w:rPr>
          <w:rFonts w:ascii="Verdana" w:hAnsi="Verdana"/>
          <w:color w:val="000000"/>
          <w:sz w:val="24"/>
        </w:rPr>
      </w:pPr>
    </w:p>
    <w:p w14:paraId="1B1797E2" w14:textId="77777777" w:rsidR="00F150A8" w:rsidRPr="0016478E" w:rsidRDefault="00F150A8" w:rsidP="00F150A8">
      <w:pPr>
        <w:spacing w:after="0" w:line="360" w:lineRule="auto"/>
        <w:rPr>
          <w:color w:val="000000"/>
        </w:rPr>
      </w:pPr>
      <w:r w:rsidRPr="0016478E">
        <w:rPr>
          <w:rFonts w:ascii="Verdana" w:hAnsi="Verdana"/>
          <w:color w:val="000000"/>
          <w:sz w:val="24"/>
        </w:rPr>
        <w:t xml:space="preserve">La loi autorise </w:t>
      </w:r>
      <w:r w:rsidRPr="0016478E">
        <w:rPr>
          <w:rFonts w:cs="Calibri,Bold"/>
          <w:bCs/>
          <w:color w:val="000000"/>
          <w:sz w:val="24"/>
          <w:szCs w:val="24"/>
        </w:rPr>
        <w:t>[</w:t>
      </w:r>
      <w:r w:rsidRPr="0016478E">
        <w:rPr>
          <w:rFonts w:cs="Calibri,Bold"/>
          <w:bCs/>
          <w:color w:val="000000"/>
          <w:sz w:val="24"/>
          <w:szCs w:val="24"/>
          <w:highlight w:val="yellow"/>
        </w:rPr>
        <w:t>nom de la bibliothèque</w:t>
      </w:r>
      <w:r w:rsidRPr="0016478E">
        <w:rPr>
          <w:rFonts w:cs="Calibri,Bold"/>
          <w:bCs/>
          <w:color w:val="000000"/>
          <w:sz w:val="24"/>
          <w:szCs w:val="24"/>
        </w:rPr>
        <w:t xml:space="preserve">] </w:t>
      </w:r>
      <w:r w:rsidRPr="0016478E">
        <w:rPr>
          <w:rFonts w:ascii="Verdana" w:hAnsi="Verdana"/>
          <w:color w:val="000000"/>
          <w:sz w:val="24"/>
        </w:rPr>
        <w:t>à adapter des documents et à les prêter, pour me permettre de lire plus facilement.</w:t>
      </w:r>
    </w:p>
    <w:p w14:paraId="732A67DB" w14:textId="77777777" w:rsidR="00F150A8" w:rsidRPr="0016478E" w:rsidRDefault="00F150A8" w:rsidP="00F150A8">
      <w:pPr>
        <w:spacing w:after="0" w:line="360" w:lineRule="auto"/>
        <w:rPr>
          <w:rFonts w:ascii="Verdana" w:hAnsi="Verdana"/>
          <w:sz w:val="24"/>
        </w:rPr>
      </w:pPr>
      <w:r w:rsidRPr="0016478E">
        <w:rPr>
          <w:rFonts w:ascii="Verdana" w:hAnsi="Verdana"/>
          <w:color w:val="000000"/>
          <w:sz w:val="24"/>
        </w:rPr>
        <w:t xml:space="preserve">La </w:t>
      </w:r>
      <w:r w:rsidRPr="0016478E">
        <w:rPr>
          <w:rFonts w:cs="Calibri,Bold"/>
          <w:bCs/>
          <w:color w:val="000000"/>
          <w:sz w:val="24"/>
          <w:szCs w:val="24"/>
        </w:rPr>
        <w:t>[</w:t>
      </w:r>
      <w:r w:rsidRPr="0016478E">
        <w:rPr>
          <w:rFonts w:cs="Calibri,Bold"/>
          <w:bCs/>
          <w:color w:val="000000"/>
          <w:sz w:val="24"/>
          <w:szCs w:val="24"/>
          <w:highlight w:val="yellow"/>
        </w:rPr>
        <w:t>nom de la bibliothèque</w:t>
      </w:r>
      <w:r w:rsidRPr="0016478E">
        <w:rPr>
          <w:rFonts w:cs="Calibri,Bold"/>
          <w:bCs/>
          <w:color w:val="000000"/>
          <w:sz w:val="24"/>
          <w:szCs w:val="24"/>
        </w:rPr>
        <w:t>]</w:t>
      </w:r>
      <w:r w:rsidRPr="0016478E">
        <w:rPr>
          <w:rFonts w:ascii="Verdana" w:hAnsi="Verdana"/>
          <w:color w:val="000000"/>
          <w:sz w:val="24"/>
        </w:rPr>
        <w:t xml:space="preserve"> doit prouver que j’ai des difficultés à lire, à cause d’un trouble ou d’un handicap.</w:t>
      </w:r>
    </w:p>
    <w:p w14:paraId="3CDF2396" w14:textId="77777777" w:rsidR="00F150A8" w:rsidRPr="0016478E" w:rsidRDefault="00F150A8" w:rsidP="00F150A8">
      <w:pPr>
        <w:spacing w:after="0" w:line="360" w:lineRule="auto"/>
        <w:rPr>
          <w:rFonts w:ascii="Verdana" w:hAnsi="Verdana"/>
          <w:color w:val="000000"/>
          <w:sz w:val="24"/>
        </w:rPr>
      </w:pPr>
    </w:p>
    <w:p w14:paraId="5765020A" w14:textId="77777777" w:rsidR="00F150A8" w:rsidRPr="0016478E" w:rsidRDefault="00F150A8" w:rsidP="00F150A8">
      <w:pPr>
        <w:rPr>
          <w:rFonts w:ascii="Verdana" w:hAnsi="Verdana"/>
          <w:b/>
          <w:color w:val="000000"/>
          <w:sz w:val="24"/>
        </w:rPr>
      </w:pPr>
      <w:r w:rsidRPr="0016478E">
        <w:br w:type="page"/>
      </w:r>
    </w:p>
    <w:p w14:paraId="590C1D96" w14:textId="77777777" w:rsidR="00F150A8" w:rsidRPr="0016478E" w:rsidRDefault="00F150A8" w:rsidP="00F150A8">
      <w:pPr>
        <w:spacing w:after="0" w:line="360" w:lineRule="auto"/>
        <w:rPr>
          <w:rFonts w:ascii="Verdana" w:hAnsi="Verdana"/>
          <w:color w:val="000000"/>
          <w:sz w:val="24"/>
        </w:rPr>
      </w:pPr>
    </w:p>
    <w:p w14:paraId="40D7E92C" w14:textId="77777777" w:rsidR="00F150A8" w:rsidRPr="0016478E" w:rsidRDefault="00F150A8" w:rsidP="00F150A8">
      <w:pPr>
        <w:spacing w:after="0" w:line="360" w:lineRule="auto"/>
        <w:rPr>
          <w:rFonts w:ascii="Verdana" w:hAnsi="Verdana"/>
          <w:color w:val="000000"/>
          <w:sz w:val="24"/>
        </w:rPr>
      </w:pPr>
    </w:p>
    <w:p w14:paraId="3619031E" w14:textId="77777777" w:rsidR="00F150A8" w:rsidRPr="0016478E" w:rsidRDefault="00F150A8" w:rsidP="00F150A8">
      <w:pPr>
        <w:spacing w:after="0" w:line="360" w:lineRule="auto"/>
        <w:rPr>
          <w:color w:val="000000"/>
        </w:rPr>
      </w:pPr>
      <w:r w:rsidRPr="0016478E">
        <w:rPr>
          <w:rFonts w:ascii="Verdana" w:hAnsi="Verdana"/>
          <w:color w:val="000000"/>
          <w:sz w:val="24"/>
        </w:rPr>
        <w:t>Voici</w:t>
      </w:r>
      <w:r w:rsidRPr="0016478E">
        <w:rPr>
          <w:rFonts w:ascii="Verdana" w:hAnsi="Verdana"/>
          <w:b/>
          <w:color w:val="000000"/>
          <w:sz w:val="24"/>
        </w:rPr>
        <w:t xml:space="preserve"> </w:t>
      </w:r>
      <w:r w:rsidRPr="0016478E">
        <w:rPr>
          <w:rFonts w:ascii="Verdana" w:hAnsi="Verdana"/>
          <w:color w:val="000000"/>
          <w:sz w:val="24"/>
        </w:rPr>
        <w:t>les</w:t>
      </w:r>
      <w:r w:rsidRPr="0016478E">
        <w:rPr>
          <w:rFonts w:ascii="Verdana" w:hAnsi="Verdana"/>
          <w:b/>
          <w:color w:val="000000"/>
          <w:sz w:val="24"/>
        </w:rPr>
        <w:t xml:space="preserve"> </w:t>
      </w:r>
      <w:r w:rsidRPr="0016478E">
        <w:rPr>
          <w:rFonts w:ascii="Verdana" w:hAnsi="Verdana"/>
          <w:color w:val="000000"/>
          <w:sz w:val="24"/>
        </w:rPr>
        <w:t>règles pour utiliser des documents adaptés :</w:t>
      </w:r>
    </w:p>
    <w:p w14:paraId="78997055" w14:textId="77777777" w:rsidR="00F150A8" w:rsidRPr="0016478E" w:rsidRDefault="00F150A8" w:rsidP="00F150A8">
      <w:pPr>
        <w:pStyle w:val="Paragraphedeliste"/>
        <w:keepNext/>
        <w:numPr>
          <w:ilvl w:val="0"/>
          <w:numId w:val="23"/>
        </w:numPr>
        <w:suppressAutoHyphens/>
        <w:spacing w:after="0" w:line="360" w:lineRule="auto"/>
        <w:jc w:val="left"/>
        <w:rPr>
          <w:color w:val="000000"/>
        </w:rPr>
      </w:pPr>
      <w:r w:rsidRPr="0016478E">
        <w:rPr>
          <w:rFonts w:ascii="Verdana" w:hAnsi="Verdana"/>
          <w:color w:val="000000"/>
          <w:sz w:val="24"/>
        </w:rPr>
        <w:t xml:space="preserve">Ce document adapté est pour moi, inscrit(e) à </w:t>
      </w:r>
      <w:r w:rsidRPr="0016478E">
        <w:rPr>
          <w:rFonts w:cs="Calibri"/>
          <w:color w:val="000000"/>
          <w:sz w:val="24"/>
          <w:szCs w:val="24"/>
        </w:rPr>
        <w:t>[</w:t>
      </w:r>
      <w:r w:rsidRPr="0016478E">
        <w:rPr>
          <w:rFonts w:cs="Calibri,Bold"/>
          <w:bCs/>
          <w:color w:val="000000"/>
          <w:sz w:val="24"/>
          <w:szCs w:val="24"/>
          <w:highlight w:val="yellow"/>
        </w:rPr>
        <w:t>nom de la bibliothèque</w:t>
      </w:r>
      <w:r w:rsidRPr="0016478E">
        <w:rPr>
          <w:rFonts w:cs="Calibri"/>
          <w:color w:val="000000"/>
          <w:sz w:val="24"/>
          <w:szCs w:val="24"/>
        </w:rPr>
        <w:t>]</w:t>
      </w:r>
      <w:r w:rsidRPr="0016478E">
        <w:rPr>
          <w:rFonts w:cs="Calibri,Bold"/>
          <w:bCs/>
          <w:color w:val="000000"/>
          <w:sz w:val="24"/>
          <w:szCs w:val="24"/>
        </w:rPr>
        <w:t>.</w:t>
      </w:r>
    </w:p>
    <w:p w14:paraId="3177764C" w14:textId="77777777" w:rsidR="00F150A8" w:rsidRPr="0016478E" w:rsidRDefault="00F150A8" w:rsidP="00F150A8">
      <w:pPr>
        <w:pStyle w:val="Paragraphedeliste"/>
        <w:keepNext/>
        <w:numPr>
          <w:ilvl w:val="0"/>
          <w:numId w:val="23"/>
        </w:numPr>
        <w:suppressAutoHyphens/>
        <w:spacing w:after="0" w:line="360" w:lineRule="auto"/>
        <w:jc w:val="left"/>
        <w:rPr>
          <w:color w:val="000000"/>
        </w:rPr>
      </w:pPr>
      <w:r w:rsidRPr="0016478E">
        <w:rPr>
          <w:rFonts w:ascii="Verdana" w:hAnsi="Verdana"/>
          <w:color w:val="000000"/>
          <w:sz w:val="24"/>
        </w:rPr>
        <w:t>Je ne dois pas le partager, le prêter ou le revendre.</w:t>
      </w:r>
    </w:p>
    <w:p w14:paraId="4F02208B" w14:textId="77777777" w:rsidR="00F150A8" w:rsidRPr="0016478E" w:rsidRDefault="00F150A8" w:rsidP="00F150A8">
      <w:pPr>
        <w:pStyle w:val="Paragraphedeliste"/>
        <w:keepNext/>
        <w:numPr>
          <w:ilvl w:val="0"/>
          <w:numId w:val="23"/>
        </w:numPr>
        <w:suppressAutoHyphens/>
        <w:spacing w:after="0" w:line="360" w:lineRule="auto"/>
        <w:jc w:val="left"/>
        <w:rPr>
          <w:color w:val="000000"/>
        </w:rPr>
      </w:pPr>
      <w:r w:rsidRPr="0016478E">
        <w:rPr>
          <w:rFonts w:ascii="Verdana" w:hAnsi="Verdana"/>
          <w:color w:val="000000"/>
          <w:sz w:val="24"/>
        </w:rPr>
        <w:t>Pour l'emprunter, je dois signer la charte.</w:t>
      </w:r>
    </w:p>
    <w:p w14:paraId="1FA753A8" w14:textId="77777777" w:rsidR="00F150A8" w:rsidRPr="0016478E" w:rsidRDefault="00F150A8" w:rsidP="00F150A8">
      <w:pPr>
        <w:spacing w:after="0" w:line="360" w:lineRule="auto"/>
        <w:rPr>
          <w:rFonts w:ascii="Verdana" w:hAnsi="Verdana"/>
          <w:color w:val="000000"/>
          <w:sz w:val="24"/>
        </w:rPr>
      </w:pPr>
    </w:p>
    <w:p w14:paraId="714121BB" w14:textId="77777777" w:rsidR="00F150A8" w:rsidRPr="0016478E" w:rsidRDefault="00F150A8" w:rsidP="00F150A8">
      <w:pPr>
        <w:spacing w:after="0" w:line="360" w:lineRule="auto"/>
        <w:rPr>
          <w:rFonts w:ascii="Verdana" w:hAnsi="Verdana"/>
          <w:sz w:val="24"/>
        </w:rPr>
      </w:pPr>
      <w:r w:rsidRPr="0016478E">
        <w:rPr>
          <w:rFonts w:ascii="Verdana" w:hAnsi="Verdana"/>
          <w:color w:val="000000"/>
          <w:sz w:val="24"/>
        </w:rPr>
        <w:t>J’ai compris les règles pour emprunter des documents adaptés.</w:t>
      </w:r>
    </w:p>
    <w:p w14:paraId="6AB7EAA2" w14:textId="77777777" w:rsidR="00F150A8" w:rsidRPr="0016478E" w:rsidRDefault="00F150A8" w:rsidP="00F150A8">
      <w:pPr>
        <w:spacing w:after="0" w:line="360" w:lineRule="auto"/>
        <w:rPr>
          <w:rFonts w:ascii="Verdana" w:hAnsi="Verdana"/>
          <w:sz w:val="24"/>
        </w:rPr>
      </w:pPr>
      <w:r w:rsidRPr="0016478E">
        <w:rPr>
          <w:rFonts w:ascii="Verdana" w:hAnsi="Verdana"/>
          <w:color w:val="000000"/>
          <w:sz w:val="24"/>
        </w:rPr>
        <w:t xml:space="preserve">Je m’engage à respecter les règles, </w:t>
      </w:r>
      <w:r w:rsidRPr="0016478E">
        <w:rPr>
          <w:rFonts w:cs="Calibri,Italic"/>
          <w:iCs/>
          <w:color w:val="000000"/>
          <w:sz w:val="24"/>
          <w:szCs w:val="24"/>
        </w:rPr>
        <w:t>[</w:t>
      </w:r>
      <w:r w:rsidRPr="0016478E">
        <w:rPr>
          <w:rFonts w:cs="Calibri,Italic"/>
          <w:iCs/>
          <w:color w:val="000000"/>
          <w:sz w:val="24"/>
          <w:szCs w:val="24"/>
          <w:highlight w:val="yellow"/>
        </w:rPr>
        <w:t>sous peine de (compléter le cas échéant)</w:t>
      </w:r>
      <w:r w:rsidRPr="0016478E">
        <w:rPr>
          <w:rFonts w:cs="Calibri,Italic"/>
          <w:iCs/>
          <w:color w:val="000000"/>
          <w:sz w:val="24"/>
          <w:szCs w:val="24"/>
        </w:rPr>
        <w:t>].</w:t>
      </w:r>
    </w:p>
    <w:p w14:paraId="2CB131AE" w14:textId="77777777" w:rsidR="00F150A8" w:rsidRPr="0016478E" w:rsidRDefault="00F150A8" w:rsidP="00F150A8">
      <w:pPr>
        <w:spacing w:after="0" w:line="360" w:lineRule="auto"/>
        <w:rPr>
          <w:rFonts w:ascii="Verdana" w:hAnsi="Verdana"/>
          <w:sz w:val="24"/>
        </w:rPr>
      </w:pPr>
      <w:r w:rsidRPr="0016478E">
        <w:rPr>
          <w:rFonts w:ascii="Verdana" w:hAnsi="Verdana"/>
          <w:color w:val="000000"/>
          <w:sz w:val="24"/>
        </w:rPr>
        <w:t>Si je suis mineur, un parent ou un responsable légal signe pour moi.</w:t>
      </w:r>
    </w:p>
    <w:p w14:paraId="24CB981C" w14:textId="77777777" w:rsidR="00F150A8" w:rsidRPr="0016478E" w:rsidRDefault="00F150A8" w:rsidP="00F150A8">
      <w:pPr>
        <w:spacing w:after="0" w:line="360" w:lineRule="auto"/>
        <w:rPr>
          <w:rFonts w:ascii="Verdana" w:hAnsi="Verdana"/>
          <w:color w:val="000000"/>
          <w:sz w:val="24"/>
        </w:rPr>
      </w:pPr>
    </w:p>
    <w:p w14:paraId="319730FB" w14:textId="77777777" w:rsidR="00F150A8" w:rsidRPr="0016478E" w:rsidRDefault="00F150A8" w:rsidP="00F150A8">
      <w:pPr>
        <w:spacing w:after="0" w:line="360" w:lineRule="auto"/>
        <w:rPr>
          <w:rFonts w:ascii="Verdana" w:hAnsi="Verdana"/>
          <w:sz w:val="24"/>
        </w:rPr>
      </w:pPr>
      <w:r w:rsidRPr="0016478E">
        <w:rPr>
          <w:rFonts w:ascii="Verdana" w:hAnsi="Verdana"/>
          <w:b/>
          <w:color w:val="000000"/>
          <w:sz w:val="24"/>
        </w:rPr>
        <w:t>Nom, Prénom :</w:t>
      </w:r>
      <w:r w:rsidRPr="0016478E">
        <w:rPr>
          <w:rFonts w:ascii="Verdana" w:hAnsi="Verdana"/>
          <w:color w:val="000000"/>
          <w:sz w:val="24"/>
        </w:rPr>
        <w:t xml:space="preserve"> ______________________________________</w:t>
      </w:r>
    </w:p>
    <w:p w14:paraId="103ED99D" w14:textId="77777777" w:rsidR="00F150A8" w:rsidRPr="0016478E" w:rsidRDefault="00F150A8" w:rsidP="00F150A8">
      <w:pPr>
        <w:spacing w:after="0"/>
        <w:rPr>
          <w:rFonts w:ascii="Verdana" w:hAnsi="Verdana" w:cs="Calibri"/>
          <w:color w:val="000000"/>
          <w:sz w:val="24"/>
          <w:szCs w:val="24"/>
        </w:rPr>
      </w:pPr>
      <w:r w:rsidRPr="0016478E">
        <w:rPr>
          <w:rFonts w:ascii="Verdana" w:hAnsi="Verdana" w:cs="Calibri,Bold"/>
          <w:b/>
          <w:bCs/>
          <w:color w:val="000000"/>
          <w:sz w:val="24"/>
          <w:szCs w:val="24"/>
        </w:rPr>
        <w:t>Fait à [</w:t>
      </w:r>
      <w:r w:rsidRPr="0016478E">
        <w:rPr>
          <w:rFonts w:ascii="Verdana" w:hAnsi="Verdana" w:cs="Calibri,Bold"/>
          <w:b/>
          <w:bCs/>
          <w:color w:val="000000"/>
          <w:sz w:val="24"/>
          <w:szCs w:val="24"/>
          <w:highlight w:val="yellow"/>
        </w:rPr>
        <w:t>lieu</w:t>
      </w:r>
      <w:r w:rsidRPr="0016478E">
        <w:rPr>
          <w:rFonts w:ascii="Verdana" w:hAnsi="Verdana" w:cs="Calibri,Bold"/>
          <w:b/>
          <w:bCs/>
          <w:color w:val="000000"/>
          <w:sz w:val="24"/>
          <w:szCs w:val="24"/>
        </w:rPr>
        <w:t>], le __</w:t>
      </w:r>
      <w:r w:rsidRPr="0016478E">
        <w:rPr>
          <w:rFonts w:ascii="Verdana" w:hAnsi="Verdana" w:cs="Calibri"/>
          <w:color w:val="000000"/>
          <w:sz w:val="24"/>
          <w:szCs w:val="24"/>
        </w:rPr>
        <w:t> / __ / _____</w:t>
      </w:r>
    </w:p>
    <w:p w14:paraId="562F1A00" w14:textId="77777777" w:rsidR="00F150A8" w:rsidRPr="0016478E" w:rsidRDefault="00F150A8" w:rsidP="00F150A8">
      <w:pPr>
        <w:spacing w:after="0"/>
        <w:rPr>
          <w:rFonts w:ascii="Verdana" w:hAnsi="Verdana" w:cs="Calibri"/>
          <w:color w:val="000000"/>
          <w:sz w:val="24"/>
          <w:szCs w:val="24"/>
        </w:rPr>
      </w:pPr>
    </w:p>
    <w:p w14:paraId="68055427" w14:textId="77777777" w:rsidR="00F150A8" w:rsidRPr="0016478E" w:rsidRDefault="00F150A8" w:rsidP="00F150A8">
      <w:pPr>
        <w:spacing w:after="0" w:line="360" w:lineRule="auto"/>
        <w:rPr>
          <w:rFonts w:ascii="Verdana" w:hAnsi="Verdana"/>
          <w:sz w:val="24"/>
        </w:rPr>
      </w:pPr>
      <w:r w:rsidRPr="0016478E">
        <w:rPr>
          <w:rFonts w:ascii="Verdana" w:hAnsi="Verdana"/>
          <w:b/>
          <w:color w:val="000000"/>
          <w:sz w:val="24"/>
        </w:rPr>
        <w:t>Signature </w:t>
      </w:r>
      <w:r w:rsidRPr="0016478E">
        <w:rPr>
          <w:rFonts w:ascii="Verdana" w:hAnsi="Verdana"/>
          <w:color w:val="000000"/>
          <w:sz w:val="24"/>
        </w:rPr>
        <w:t>:</w:t>
      </w:r>
    </w:p>
    <w:p w14:paraId="2F7A5A6C" w14:textId="77777777" w:rsidR="00F150A8" w:rsidRPr="0016478E" w:rsidRDefault="00F150A8" w:rsidP="00F150A8">
      <w:pPr>
        <w:spacing w:after="0" w:line="360" w:lineRule="auto"/>
        <w:rPr>
          <w:rFonts w:ascii="Verdana" w:hAnsi="Verdana"/>
          <w:color w:val="000000"/>
          <w:sz w:val="24"/>
        </w:rPr>
      </w:pPr>
    </w:p>
    <w:p w14:paraId="03EBBD8D" w14:textId="77777777" w:rsidR="00F150A8" w:rsidRPr="0016478E" w:rsidRDefault="00F150A8" w:rsidP="00F150A8">
      <w:pPr>
        <w:spacing w:after="0"/>
        <w:rPr>
          <w:rFonts w:cs="Calibri"/>
          <w:color w:val="000000"/>
          <w:sz w:val="24"/>
          <w:szCs w:val="24"/>
        </w:rPr>
      </w:pPr>
      <w:r w:rsidRPr="0016478E">
        <w:rPr>
          <w:rFonts w:cs="Calibri"/>
          <w:color w:val="000000"/>
          <w:sz w:val="24"/>
          <w:szCs w:val="24"/>
        </w:rPr>
        <w:t>N° de carte de lecteur : ___________________________________________</w:t>
      </w:r>
    </w:p>
    <w:p w14:paraId="05D3754F" w14:textId="77777777" w:rsidR="00F150A8" w:rsidRPr="0016478E" w:rsidRDefault="00F150A8" w:rsidP="00F150A8">
      <w:pPr>
        <w:spacing w:after="0"/>
        <w:rPr>
          <w:rFonts w:cs="Calibri"/>
          <w:color w:val="000000"/>
          <w:sz w:val="24"/>
          <w:szCs w:val="24"/>
        </w:rPr>
      </w:pPr>
    </w:p>
    <w:p w14:paraId="1C481C30" w14:textId="77777777" w:rsidR="00F150A8" w:rsidRPr="0016478E" w:rsidRDefault="00F150A8" w:rsidP="00F150A8">
      <w:pPr>
        <w:spacing w:after="0"/>
        <w:rPr>
          <w:rFonts w:cs="Calibri"/>
          <w:color w:val="000000"/>
          <w:sz w:val="24"/>
          <w:szCs w:val="24"/>
        </w:rPr>
      </w:pPr>
      <w:r w:rsidRPr="0016478E">
        <w:rPr>
          <w:rFonts w:cs="Calibri"/>
          <w:color w:val="000000"/>
          <w:sz w:val="24"/>
          <w:szCs w:val="24"/>
        </w:rPr>
        <w:t>Type de justificatif présenté : ______________________________________</w:t>
      </w:r>
    </w:p>
    <w:p w14:paraId="156E11AA" w14:textId="77777777" w:rsidR="00F150A8" w:rsidRPr="0016478E" w:rsidRDefault="00F150A8" w:rsidP="00F150A8">
      <w:pPr>
        <w:spacing w:after="0"/>
        <w:rPr>
          <w:rFonts w:ascii="Verdana" w:hAnsi="Verdana"/>
          <w:color w:val="000000"/>
          <w:sz w:val="24"/>
        </w:rPr>
      </w:pPr>
    </w:p>
    <w:p w14:paraId="3AA87163" w14:textId="77777777" w:rsidR="00F150A8" w:rsidRPr="0016478E" w:rsidRDefault="00F150A8" w:rsidP="00F150A8">
      <w:pPr>
        <w:spacing w:after="0" w:line="360" w:lineRule="auto"/>
        <w:rPr>
          <w:rFonts w:ascii="Verdana" w:hAnsi="Verdana"/>
          <w:color w:val="000000"/>
          <w:sz w:val="24"/>
        </w:rPr>
      </w:pPr>
    </w:p>
    <w:p w14:paraId="6B12B981" w14:textId="77777777" w:rsidR="00F150A8" w:rsidRPr="0016478E" w:rsidRDefault="00F150A8" w:rsidP="00F150A8">
      <w:pPr>
        <w:spacing w:after="0" w:line="360" w:lineRule="auto"/>
        <w:rPr>
          <w:rFonts w:ascii="Verdana" w:hAnsi="Verdana"/>
        </w:rPr>
      </w:pPr>
      <w:r w:rsidRPr="0016478E">
        <w:rPr>
          <w:rFonts w:ascii="Verdana" w:hAnsi="Verdana"/>
          <w:color w:val="000000"/>
        </w:rPr>
        <w:t xml:space="preserve">Ces informations seront gardées dans un ordinateur </w:t>
      </w:r>
    </w:p>
    <w:p w14:paraId="48638233" w14:textId="77777777" w:rsidR="00F150A8" w:rsidRPr="0016478E" w:rsidRDefault="00F150A8" w:rsidP="00F150A8">
      <w:pPr>
        <w:spacing w:after="0" w:line="360" w:lineRule="auto"/>
        <w:rPr>
          <w:rFonts w:ascii="Verdana" w:hAnsi="Verdana"/>
        </w:rPr>
      </w:pPr>
      <w:r w:rsidRPr="0016478E">
        <w:rPr>
          <w:rFonts w:ascii="Verdana" w:hAnsi="Verdana"/>
          <w:color w:val="000000"/>
        </w:rPr>
        <w:t xml:space="preserve">par </w:t>
      </w:r>
      <w:r w:rsidRPr="0016478E">
        <w:rPr>
          <w:rStyle w:val="Accentuationforte"/>
          <w:color w:val="000000"/>
        </w:rPr>
        <w:t>[</w:t>
      </w:r>
      <w:r w:rsidRPr="0016478E">
        <w:rPr>
          <w:rStyle w:val="Accentuationforte"/>
          <w:color w:val="000000"/>
          <w:highlight w:val="yellow"/>
        </w:rPr>
        <w:t>responsable_de_traitement</w:t>
      </w:r>
      <w:r w:rsidRPr="0016478E">
        <w:rPr>
          <w:rStyle w:val="Accentuationforte"/>
          <w:color w:val="000000"/>
        </w:rPr>
        <w:t xml:space="preserve">], </w:t>
      </w:r>
      <w:r w:rsidRPr="0016478E">
        <w:rPr>
          <w:rFonts w:ascii="Verdana" w:hAnsi="Verdana"/>
          <w:color w:val="000000"/>
        </w:rPr>
        <w:t xml:space="preserve">pour </w:t>
      </w:r>
      <w:r w:rsidRPr="0016478E">
        <w:rPr>
          <w:rStyle w:val="Accentuationforte"/>
          <w:color w:val="000000"/>
        </w:rPr>
        <w:t>[</w:t>
      </w:r>
      <w:r w:rsidRPr="0016478E">
        <w:rPr>
          <w:rStyle w:val="Accentuationforte"/>
          <w:color w:val="000000"/>
          <w:highlight w:val="yellow"/>
        </w:rPr>
        <w:t>finalites_du_traitement</w:t>
      </w:r>
      <w:r w:rsidRPr="0016478E">
        <w:rPr>
          <w:rStyle w:val="Accentuationforte"/>
          <w:color w:val="000000"/>
        </w:rPr>
        <w:t>],</w:t>
      </w:r>
    </w:p>
    <w:p w14:paraId="2C86AD94" w14:textId="77777777" w:rsidR="00F150A8" w:rsidRPr="0016478E" w:rsidRDefault="00F150A8" w:rsidP="00F150A8">
      <w:pPr>
        <w:spacing w:after="0" w:line="360" w:lineRule="auto"/>
      </w:pPr>
      <w:r w:rsidRPr="0016478E">
        <w:rPr>
          <w:rFonts w:ascii="Verdana" w:hAnsi="Verdana"/>
          <w:color w:val="000000"/>
        </w:rPr>
        <w:t xml:space="preserve">pendant </w:t>
      </w:r>
      <w:r w:rsidRPr="0016478E">
        <w:rPr>
          <w:rStyle w:val="Accentuationforte"/>
          <w:color w:val="000000"/>
        </w:rPr>
        <w:t>[</w:t>
      </w:r>
      <w:r w:rsidRPr="0016478E">
        <w:rPr>
          <w:rStyle w:val="Accentuationforte"/>
          <w:color w:val="000000"/>
          <w:highlight w:val="yellow"/>
        </w:rPr>
        <w:t>duree_de_conservation</w:t>
      </w:r>
      <w:r w:rsidRPr="0016478E">
        <w:rPr>
          <w:rStyle w:val="Accentuationforte"/>
          <w:color w:val="000000"/>
        </w:rPr>
        <w:t xml:space="preserve">], </w:t>
      </w:r>
      <w:r w:rsidRPr="0016478E">
        <w:rPr>
          <w:rFonts w:ascii="Verdana" w:hAnsi="Verdana"/>
          <w:color w:val="000000"/>
        </w:rPr>
        <w:t xml:space="preserve">destinées à </w:t>
      </w:r>
      <w:r w:rsidRPr="0016478E">
        <w:rPr>
          <w:rStyle w:val="Accentuationforte"/>
          <w:color w:val="000000"/>
        </w:rPr>
        <w:t>[</w:t>
      </w:r>
      <w:r w:rsidRPr="0016478E">
        <w:rPr>
          <w:rStyle w:val="Accentuationforte"/>
          <w:color w:val="000000"/>
          <w:highlight w:val="yellow"/>
        </w:rPr>
        <w:t>destinataires_des_donnees</w:t>
      </w:r>
      <w:r w:rsidRPr="0016478E">
        <w:rPr>
          <w:rStyle w:val="Accentuationforte"/>
          <w:color w:val="000000"/>
        </w:rPr>
        <w:t>]</w:t>
      </w:r>
    </w:p>
    <w:p w14:paraId="45BDD271" w14:textId="77777777" w:rsidR="00F150A8" w:rsidRPr="0016478E" w:rsidRDefault="00F150A8" w:rsidP="00F150A8">
      <w:pPr>
        <w:spacing w:after="0" w:line="360" w:lineRule="auto"/>
        <w:rPr>
          <w:rFonts w:ascii="Verdana" w:hAnsi="Verdana"/>
          <w:color w:val="000000"/>
        </w:rPr>
      </w:pPr>
    </w:p>
    <w:p w14:paraId="1E3F246D" w14:textId="77777777" w:rsidR="00F150A8" w:rsidRPr="0016478E" w:rsidRDefault="00F150A8" w:rsidP="00F150A8">
      <w:pPr>
        <w:spacing w:after="0" w:line="360" w:lineRule="auto"/>
        <w:rPr>
          <w:rFonts w:ascii="Verdana" w:hAnsi="Verdana"/>
        </w:rPr>
      </w:pPr>
      <w:r w:rsidRPr="0016478E">
        <w:rPr>
          <w:rFonts w:ascii="Verdana" w:hAnsi="Verdana"/>
          <w:color w:val="000000"/>
        </w:rPr>
        <w:t>Je peux vérifier et modifier ces informations en contactant :</w:t>
      </w:r>
    </w:p>
    <w:p w14:paraId="7765283C" w14:textId="77777777" w:rsidR="00F150A8" w:rsidRPr="0016478E" w:rsidRDefault="00F150A8" w:rsidP="00F150A8">
      <w:pPr>
        <w:spacing w:after="0" w:line="360" w:lineRule="auto"/>
        <w:rPr>
          <w:rFonts w:ascii="Verdana" w:hAnsi="Verdana"/>
          <w:b/>
        </w:rPr>
      </w:pPr>
      <w:r w:rsidRPr="0016478E">
        <w:rPr>
          <w:rStyle w:val="Accentuationforte"/>
          <w:color w:val="000000"/>
        </w:rPr>
        <w:t>[</w:t>
      </w:r>
      <w:r w:rsidRPr="0016478E">
        <w:rPr>
          <w:rStyle w:val="Accentuationforte"/>
          <w:color w:val="000000"/>
          <w:highlight w:val="yellow"/>
        </w:rPr>
        <w:t>service_charge_du_droit_dacces</w:t>
      </w:r>
      <w:r w:rsidRPr="0016478E">
        <w:rPr>
          <w:rStyle w:val="Accentuationforte"/>
          <w:color w:val="000000"/>
        </w:rPr>
        <w:t>].</w:t>
      </w:r>
    </w:p>
    <w:p w14:paraId="7EC5804D" w14:textId="77777777" w:rsidR="00F150A8" w:rsidRPr="0016478E" w:rsidRDefault="00F150A8" w:rsidP="00F150A8">
      <w:pPr>
        <w:spacing w:after="0" w:line="360" w:lineRule="auto"/>
      </w:pPr>
      <w:r w:rsidRPr="0016478E">
        <w:rPr>
          <w:i/>
          <w:color w:val="000000"/>
        </w:rPr>
        <w:t xml:space="preserve">Conformément à la loi </w:t>
      </w:r>
      <w:r w:rsidRPr="0016478E">
        <w:rPr>
          <w:rStyle w:val="Accentuationforte"/>
          <w:i/>
          <w:color w:val="000000"/>
        </w:rPr>
        <w:t>n° 78-17 du 6 janvier 1978 relative à l'informatique, aux fichiers et aux libertés.</w:t>
      </w:r>
    </w:p>
    <w:p w14:paraId="0B51E378" w14:textId="0CF69338" w:rsidR="00F150A8" w:rsidRPr="0016478E" w:rsidRDefault="00F150A8">
      <w:pPr>
        <w:spacing w:after="0" w:line="240" w:lineRule="auto"/>
        <w:jc w:val="left"/>
      </w:pPr>
      <w:r w:rsidRPr="0016478E">
        <w:br w:type="page"/>
      </w:r>
    </w:p>
    <w:p w14:paraId="535C94A3" w14:textId="1A8D92CF" w:rsidR="00BB3438" w:rsidRPr="00BB3438" w:rsidRDefault="00BB3438" w:rsidP="00BB3438">
      <w:pPr>
        <w:pStyle w:val="Titre1"/>
        <w:numPr>
          <w:ilvl w:val="0"/>
          <w:numId w:val="0"/>
        </w:numPr>
      </w:pPr>
      <w:bookmarkStart w:id="8" w:name="_Toc180589707"/>
      <w:r w:rsidRPr="0016478E">
        <w:lastRenderedPageBreak/>
        <w:t xml:space="preserve">Annexe III : modèle de </w:t>
      </w:r>
      <w:r w:rsidRPr="00BB3438">
        <w:t>Déclaration sur l'honneur</w:t>
      </w:r>
      <w:bookmarkEnd w:id="8"/>
    </w:p>
    <w:p w14:paraId="7EA59A1F" w14:textId="77777777" w:rsidR="00BB3438" w:rsidRPr="00BB3438" w:rsidRDefault="00BB3438" w:rsidP="00BB3438"/>
    <w:p w14:paraId="32168D0D" w14:textId="77777777" w:rsidR="00BB3438" w:rsidRPr="00BB3438" w:rsidRDefault="00BB3438" w:rsidP="00BB3438">
      <w:pPr>
        <w:rPr>
          <w:rFonts w:asciiTheme="majorHAnsi" w:hAnsiTheme="majorHAnsi" w:cstheme="majorHAnsi"/>
        </w:rPr>
      </w:pPr>
      <w:r w:rsidRPr="00BB3438">
        <w:rPr>
          <w:rFonts w:asciiTheme="majorHAnsi" w:hAnsiTheme="majorHAnsi" w:cstheme="majorHAnsi"/>
        </w:rPr>
        <w:t xml:space="preserve">La </w:t>
      </w:r>
      <w:bookmarkStart w:id="9" w:name="__DdeLink__122_392014065"/>
      <w:r w:rsidRPr="00BB3438">
        <w:rPr>
          <w:rFonts w:asciiTheme="majorHAnsi" w:hAnsiTheme="majorHAnsi" w:cstheme="majorHAnsi"/>
        </w:rPr>
        <w:t>[bibliothèque]</w:t>
      </w:r>
      <w:bookmarkEnd w:id="9"/>
      <w:r w:rsidRPr="00BB3438">
        <w:rPr>
          <w:rFonts w:asciiTheme="majorHAnsi" w:hAnsiTheme="majorHAnsi" w:cstheme="majorHAnsi"/>
        </w:rPr>
        <w:t xml:space="preserve"> accompagne les personnes en difficulté de lecture et propose, dans les bibliothèques [nom du pôle – nom de la bibliothèque] ou sur rendez-vous au pôle [nom du pôle – nom de la bibliothèque] :</w:t>
      </w:r>
    </w:p>
    <w:p w14:paraId="262DF3E1" w14:textId="77777777" w:rsidR="00BB3438" w:rsidRPr="00BB3438" w:rsidRDefault="00BB3438" w:rsidP="00BB3438">
      <w:pPr>
        <w:numPr>
          <w:ilvl w:val="0"/>
          <w:numId w:val="16"/>
        </w:numPr>
        <w:rPr>
          <w:rFonts w:asciiTheme="majorHAnsi" w:hAnsiTheme="majorHAnsi" w:cstheme="majorHAnsi"/>
        </w:rPr>
      </w:pPr>
      <w:r w:rsidRPr="00BB3438">
        <w:rPr>
          <w:rFonts w:asciiTheme="majorHAnsi" w:hAnsiTheme="majorHAnsi" w:cstheme="majorHAnsi"/>
        </w:rPr>
        <w:t>Un accès à des documents numériques adaptés dans le cadre de l’Exception au droit d’auteur en faveur des personnes handicapées</w:t>
      </w:r>
      <w:r w:rsidRPr="00BB3438">
        <w:rPr>
          <w:rFonts w:asciiTheme="majorHAnsi" w:hAnsiTheme="majorHAnsi" w:cstheme="majorHAnsi"/>
          <w:vertAlign w:val="superscript"/>
        </w:rPr>
        <w:footnoteReference w:id="1"/>
      </w:r>
      <w:r w:rsidRPr="00BB3438">
        <w:rPr>
          <w:rFonts w:asciiTheme="majorHAnsi" w:hAnsiTheme="majorHAnsi" w:cstheme="majorHAnsi"/>
        </w:rPr>
        <w:t> ;</w:t>
      </w:r>
    </w:p>
    <w:p w14:paraId="4BF1D581" w14:textId="77777777" w:rsidR="00BB3438" w:rsidRPr="00BB3438" w:rsidRDefault="00BB3438" w:rsidP="00BB3438">
      <w:pPr>
        <w:numPr>
          <w:ilvl w:val="0"/>
          <w:numId w:val="16"/>
        </w:numPr>
        <w:rPr>
          <w:rFonts w:asciiTheme="majorHAnsi" w:hAnsiTheme="majorHAnsi" w:cstheme="majorHAnsi"/>
        </w:rPr>
      </w:pPr>
      <w:r w:rsidRPr="00BB3438">
        <w:rPr>
          <w:rFonts w:asciiTheme="majorHAnsi" w:hAnsiTheme="majorHAnsi" w:cstheme="majorHAnsi"/>
        </w:rPr>
        <w:t>L’usage de ces documents est strictement personnel et réservé aux utilisateurs inscrits à [nom du pôle – nom de la bibliothèque]. Leur partage ou leur diffusion même à titre gratuit sous quelque support que ce soit sont strictement interdits et peuvent faire l’objet de poursuites pour délit de contrefaçon.</w:t>
      </w:r>
    </w:p>
    <w:p w14:paraId="2DDD3E2E" w14:textId="77777777" w:rsidR="00BB3438" w:rsidRPr="00BB3438" w:rsidRDefault="00BB3438" w:rsidP="00BB3438">
      <w:pPr>
        <w:rPr>
          <w:rFonts w:asciiTheme="majorHAnsi" w:hAnsiTheme="majorHAnsi" w:cstheme="majorHAnsi"/>
        </w:rPr>
      </w:pPr>
    </w:p>
    <w:p w14:paraId="1BA72D66" w14:textId="4A9C6C9F" w:rsidR="00BB3438" w:rsidRPr="00BB3438" w:rsidRDefault="00BB3438" w:rsidP="00BB3438">
      <w:pPr>
        <w:rPr>
          <w:rFonts w:asciiTheme="majorHAnsi" w:hAnsiTheme="majorHAnsi" w:cstheme="majorHAnsi"/>
        </w:rPr>
      </w:pPr>
      <w:r w:rsidRPr="00BB3438">
        <w:rPr>
          <w:rFonts w:asciiTheme="majorHAnsi" w:hAnsiTheme="majorHAnsi" w:cstheme="majorHAnsi"/>
        </w:rPr>
        <w:t xml:space="preserve">Je, soussigné(e), ..............................................................................................., déclare </w:t>
      </w:r>
      <w:r w:rsidRPr="0016478E">
        <w:rPr>
          <w:rFonts w:asciiTheme="majorHAnsi" w:hAnsiTheme="majorHAnsi" w:cstheme="majorHAnsi"/>
        </w:rPr>
        <w:t>avoir</w:t>
      </w:r>
      <w:r w:rsidRPr="00BB3438">
        <w:rPr>
          <w:rFonts w:asciiTheme="majorHAnsi" w:hAnsiTheme="majorHAnsi" w:cstheme="majorHAnsi"/>
        </w:rPr>
        <w:t xml:space="preserve"> des difficultés d'accès à la lecture en raison d’un handicap ou d’un trouble des apprentissages (dyslexie, dyspraxie, dysphasie, etc.) et souhaite bénéficier de ces services.</w:t>
      </w:r>
    </w:p>
    <w:p w14:paraId="77856EDA" w14:textId="77777777" w:rsidR="00BB3438" w:rsidRPr="00BB3438" w:rsidRDefault="00BB3438" w:rsidP="00BB3438">
      <w:pPr>
        <w:rPr>
          <w:rFonts w:asciiTheme="majorHAnsi" w:hAnsiTheme="majorHAnsi" w:cstheme="majorHAnsi"/>
        </w:rPr>
      </w:pPr>
    </w:p>
    <w:p w14:paraId="54FAA85D" w14:textId="77777777" w:rsidR="00BB3438" w:rsidRPr="00BB3438" w:rsidRDefault="00BB3438" w:rsidP="00BB3438">
      <w:pPr>
        <w:rPr>
          <w:rFonts w:asciiTheme="majorHAnsi" w:hAnsiTheme="majorHAnsi" w:cstheme="majorHAnsi"/>
        </w:rPr>
      </w:pPr>
    </w:p>
    <w:p w14:paraId="2F19EBB3" w14:textId="77777777" w:rsidR="00BB3438" w:rsidRPr="00BB3438" w:rsidRDefault="00BB3438" w:rsidP="00BB3438">
      <w:pPr>
        <w:rPr>
          <w:rFonts w:asciiTheme="majorHAnsi" w:hAnsiTheme="majorHAnsi" w:cstheme="majorHAnsi"/>
        </w:rPr>
      </w:pPr>
    </w:p>
    <w:p w14:paraId="10740BCB" w14:textId="4445CD04" w:rsidR="00BB3438" w:rsidRPr="00BB3438" w:rsidRDefault="00BB3438" w:rsidP="00BB3438">
      <w:pPr>
        <w:rPr>
          <w:rFonts w:asciiTheme="majorHAnsi" w:hAnsiTheme="majorHAnsi" w:cstheme="majorHAnsi"/>
          <w:b/>
          <w:bCs/>
        </w:rPr>
      </w:pPr>
      <w:r w:rsidRPr="00BB3438">
        <w:rPr>
          <w:rFonts w:asciiTheme="majorHAnsi" w:hAnsiTheme="majorHAnsi" w:cstheme="majorHAnsi"/>
          <w:b/>
          <w:bCs/>
        </w:rPr>
        <w:tab/>
        <w:t xml:space="preserve">Fait à [commune], le </w:t>
      </w:r>
    </w:p>
    <w:p w14:paraId="4EF53573" w14:textId="77777777" w:rsidR="00BB3438" w:rsidRPr="00BB3438" w:rsidRDefault="00BB3438" w:rsidP="00BB3438">
      <w:pPr>
        <w:rPr>
          <w:rFonts w:asciiTheme="majorHAnsi" w:hAnsiTheme="majorHAnsi" w:cstheme="majorHAnsi"/>
          <w:b/>
        </w:rPr>
      </w:pPr>
      <w:r w:rsidRPr="00BB3438">
        <w:rPr>
          <w:rFonts w:asciiTheme="majorHAnsi" w:hAnsiTheme="majorHAnsi" w:cstheme="majorHAnsi"/>
        </w:rPr>
        <w:tab/>
      </w:r>
      <w:r w:rsidRPr="00BB3438">
        <w:rPr>
          <w:rFonts w:asciiTheme="majorHAnsi" w:hAnsiTheme="majorHAnsi" w:cstheme="majorHAnsi"/>
          <w:b/>
        </w:rPr>
        <w:t>Signature</w:t>
      </w:r>
    </w:p>
    <w:p w14:paraId="30105A4A" w14:textId="77777777" w:rsidR="00BB3438" w:rsidRPr="00BB3438" w:rsidRDefault="00BB3438" w:rsidP="00BB3438">
      <w:pPr>
        <w:rPr>
          <w:rFonts w:asciiTheme="majorHAnsi" w:hAnsiTheme="majorHAnsi" w:cstheme="majorHAnsi"/>
        </w:rPr>
      </w:pPr>
    </w:p>
    <w:p w14:paraId="73F77991" w14:textId="77777777" w:rsidR="00BB3438" w:rsidRPr="00BB3438" w:rsidRDefault="00BB3438" w:rsidP="00BB3438">
      <w:pPr>
        <w:rPr>
          <w:rFonts w:asciiTheme="majorHAnsi" w:hAnsiTheme="majorHAnsi" w:cstheme="majorHAnsi"/>
        </w:rPr>
      </w:pPr>
    </w:p>
    <w:p w14:paraId="77FFB6C5" w14:textId="77777777" w:rsidR="00BB3438" w:rsidRPr="0016478E" w:rsidRDefault="00BB3438" w:rsidP="00BB3438">
      <w:pPr>
        <w:rPr>
          <w:rFonts w:asciiTheme="majorHAnsi" w:hAnsiTheme="majorHAnsi" w:cstheme="majorHAnsi"/>
        </w:rPr>
      </w:pPr>
    </w:p>
    <w:p w14:paraId="035C349F" w14:textId="77777777" w:rsidR="00BB3438" w:rsidRPr="0016478E" w:rsidRDefault="00BB3438" w:rsidP="00BB3438">
      <w:pPr>
        <w:rPr>
          <w:rFonts w:asciiTheme="majorHAnsi" w:hAnsiTheme="majorHAnsi" w:cstheme="majorHAnsi"/>
        </w:rPr>
      </w:pPr>
    </w:p>
    <w:p w14:paraId="656FF1DB" w14:textId="77777777" w:rsidR="00BB3438" w:rsidRPr="0016478E" w:rsidRDefault="00BB3438" w:rsidP="00BB3438">
      <w:pPr>
        <w:rPr>
          <w:rFonts w:asciiTheme="majorHAnsi" w:hAnsiTheme="majorHAnsi" w:cstheme="majorHAnsi"/>
        </w:rPr>
      </w:pPr>
    </w:p>
    <w:p w14:paraId="5DE03074" w14:textId="77777777" w:rsidR="00BB3438" w:rsidRPr="00BB3438" w:rsidRDefault="00BB3438" w:rsidP="00BB3438">
      <w:pPr>
        <w:rPr>
          <w:rFonts w:asciiTheme="majorHAnsi" w:hAnsiTheme="majorHAnsi" w:cstheme="majorHAnsi"/>
        </w:rPr>
      </w:pPr>
    </w:p>
    <w:p w14:paraId="28139097" w14:textId="77777777" w:rsidR="00BB3438" w:rsidRPr="00BB3438" w:rsidRDefault="00BB3438" w:rsidP="00BB3438">
      <w:pPr>
        <w:rPr>
          <w:rFonts w:asciiTheme="majorHAnsi" w:hAnsiTheme="majorHAnsi" w:cstheme="majorHAnsi"/>
        </w:rPr>
      </w:pPr>
      <w:r w:rsidRPr="00BB3438">
        <w:rPr>
          <w:rFonts w:asciiTheme="majorHAnsi" w:hAnsiTheme="majorHAnsi" w:cstheme="majorHAnsi"/>
        </w:rPr>
        <w:t>Partie réservée au personnel :</w:t>
      </w:r>
    </w:p>
    <w:p w14:paraId="6A6B5954" w14:textId="77777777" w:rsidR="00BB3438" w:rsidRPr="0016478E" w:rsidRDefault="00BB3438" w:rsidP="00BB3438">
      <w:pPr>
        <w:rPr>
          <w:rFonts w:asciiTheme="majorHAnsi" w:hAnsiTheme="majorHAnsi" w:cstheme="majorHAnsi"/>
        </w:rPr>
      </w:pPr>
      <w:r w:rsidRPr="00BB3438">
        <w:rPr>
          <w:rFonts w:asciiTheme="majorHAnsi" w:hAnsiTheme="majorHAnsi" w:cstheme="majorHAnsi"/>
        </w:rPr>
        <w:t>Profil [nom du profil spécifique] attribué par la bibliothèque :</w:t>
      </w:r>
    </w:p>
    <w:p w14:paraId="119EAF6C" w14:textId="30E20876" w:rsidR="00BB3438" w:rsidRPr="00BB3438" w:rsidRDefault="00BB3438" w:rsidP="00BB3438">
      <w:pPr>
        <w:rPr>
          <w:rFonts w:asciiTheme="majorHAnsi" w:hAnsiTheme="majorHAnsi" w:cstheme="majorHAnsi"/>
        </w:rPr>
      </w:pPr>
      <w:r w:rsidRPr="00BB3438">
        <w:rPr>
          <w:rFonts w:asciiTheme="majorHAnsi" w:hAnsiTheme="majorHAnsi" w:cstheme="majorHAnsi"/>
        </w:rPr>
        <w:t>____________________________________________</w:t>
      </w:r>
    </w:p>
    <w:p w14:paraId="0FBC8F6A" w14:textId="77777777" w:rsidR="00BB3438" w:rsidRPr="00BB3438" w:rsidRDefault="00BB3438" w:rsidP="00BB3438">
      <w:pPr>
        <w:rPr>
          <w:rFonts w:asciiTheme="majorHAnsi" w:hAnsiTheme="majorHAnsi" w:cstheme="majorHAnsi"/>
        </w:rPr>
      </w:pPr>
      <w:r w:rsidRPr="00BB3438">
        <w:rPr>
          <w:rFonts w:asciiTheme="majorHAnsi" w:hAnsiTheme="majorHAnsi" w:cstheme="majorHAnsi"/>
        </w:rPr>
        <w:t>N° de carte de lecteur : ____________________</w:t>
      </w:r>
    </w:p>
    <w:p w14:paraId="6A7A8DF4" w14:textId="77777777" w:rsidR="0040692B" w:rsidRPr="0016478E" w:rsidRDefault="0040692B" w:rsidP="003F40F5">
      <w:pPr>
        <w:rPr>
          <w:rFonts w:asciiTheme="majorHAnsi" w:hAnsiTheme="majorHAnsi" w:cstheme="majorHAnsi"/>
        </w:rPr>
      </w:pPr>
    </w:p>
    <w:sectPr w:rsidR="0040692B" w:rsidRPr="0016478E" w:rsidSect="008B40F4">
      <w:headerReference w:type="even" r:id="rId26"/>
      <w:headerReference w:type="default" r:id="rId27"/>
      <w:footerReference w:type="even" r:id="rId28"/>
      <w:footerReference w:type="default" r:id="rId29"/>
      <w:headerReference w:type="first" r:id="rId30"/>
      <w:footerReference w:type="first" r:id="rId31"/>
      <w:pgSz w:w="11906" w:h="16838"/>
      <w:pgMar w:top="1135" w:right="1274" w:bottom="993" w:left="1276" w:header="0" w:footer="220"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64DF5" w14:textId="77777777" w:rsidR="0058751E" w:rsidRDefault="0058751E" w:rsidP="00431915">
      <w:r>
        <w:separator/>
      </w:r>
    </w:p>
  </w:endnote>
  <w:endnote w:type="continuationSeparator" w:id="0">
    <w:p w14:paraId="07611978" w14:textId="77777777" w:rsidR="0058751E" w:rsidRDefault="0058751E" w:rsidP="0043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roman"/>
    <w:pitch w:val="variable"/>
  </w:font>
  <w:font w:name="Calibri,Bold">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44014" w14:textId="77777777" w:rsidR="003F6AAA" w:rsidRDefault="003F6A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8EB1D" w14:textId="3C21F7E0" w:rsidR="0029286B" w:rsidRPr="003D1574" w:rsidRDefault="003F6AAA" w:rsidP="00431915">
    <w:pPr>
      <w:pStyle w:val="Pieddepage"/>
      <w:rPr>
        <w:sz w:val="18"/>
        <w:szCs w:val="18"/>
      </w:rPr>
    </w:pPr>
    <w:r w:rsidRPr="003F6AAA">
      <w:rPr>
        <w:sz w:val="18"/>
        <w:szCs w:val="18"/>
      </w:rPr>
      <w:t>Vade-mecum relatif à la mise en œuvre de « l’exception handicap » dans les bibliothèques publiques</w:t>
    </w:r>
    <w:r w:rsidR="002A41CE" w:rsidRPr="003D1574">
      <w:rPr>
        <w:sz w:val="18"/>
        <w:szCs w:val="18"/>
      </w:rPr>
      <w:tab/>
    </w:r>
    <w:r w:rsidR="002A41CE" w:rsidRPr="003D1574">
      <w:rPr>
        <w:sz w:val="18"/>
        <w:szCs w:val="18"/>
      </w:rPr>
      <w:fldChar w:fldCharType="begin"/>
    </w:r>
    <w:r w:rsidR="002A41CE" w:rsidRPr="003D1574">
      <w:rPr>
        <w:sz w:val="18"/>
        <w:szCs w:val="18"/>
      </w:rPr>
      <w:instrText>PAGE</w:instrText>
    </w:r>
    <w:r w:rsidR="002A41CE" w:rsidRPr="003D1574">
      <w:rPr>
        <w:sz w:val="18"/>
        <w:szCs w:val="18"/>
      </w:rPr>
      <w:fldChar w:fldCharType="separate"/>
    </w:r>
    <w:r w:rsidR="00DB7FB5">
      <w:rPr>
        <w:noProof/>
        <w:sz w:val="18"/>
        <w:szCs w:val="18"/>
      </w:rPr>
      <w:t>6</w:t>
    </w:r>
    <w:r w:rsidR="002A41CE" w:rsidRPr="003D1574">
      <w:rPr>
        <w:sz w:val="18"/>
        <w:szCs w:val="18"/>
      </w:rPr>
      <w:fldChar w:fldCharType="end"/>
    </w:r>
  </w:p>
  <w:p w14:paraId="5DB09006" w14:textId="77777777" w:rsidR="0029286B" w:rsidRPr="003D1574" w:rsidRDefault="0029286B" w:rsidP="00431915">
    <w:pPr>
      <w:pStyle w:val="Pieddepag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F429B" w14:textId="77777777" w:rsidR="003F6AAA" w:rsidRDefault="003F6A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5D367" w14:textId="77777777" w:rsidR="0058751E" w:rsidRDefault="0058751E" w:rsidP="00431915">
      <w:r>
        <w:separator/>
      </w:r>
    </w:p>
  </w:footnote>
  <w:footnote w:type="continuationSeparator" w:id="0">
    <w:p w14:paraId="52C4865A" w14:textId="77777777" w:rsidR="0058751E" w:rsidRDefault="0058751E" w:rsidP="00431915">
      <w:r>
        <w:continuationSeparator/>
      </w:r>
    </w:p>
  </w:footnote>
  <w:footnote w:id="1">
    <w:p w14:paraId="4FD68C6E" w14:textId="43D2B3BD" w:rsidR="00BB3438" w:rsidRPr="00BB3438" w:rsidRDefault="00BB3438" w:rsidP="00BB3438">
      <w:pPr>
        <w:pStyle w:val="Notedebasdepage"/>
        <w:rPr>
          <w:rFonts w:asciiTheme="majorHAnsi" w:hAnsiTheme="majorHAnsi" w:cstheme="majorHAnsi"/>
        </w:rPr>
      </w:pPr>
      <w:r w:rsidRPr="00BB3438">
        <w:rPr>
          <w:rStyle w:val="Appelnotedebasdep"/>
          <w:rFonts w:asciiTheme="majorHAnsi" w:hAnsiTheme="majorHAnsi" w:cstheme="majorHAnsi"/>
        </w:rPr>
        <w:footnoteRef/>
      </w:r>
      <w:r w:rsidRPr="00BB3438">
        <w:rPr>
          <w:rFonts w:asciiTheme="majorHAnsi" w:hAnsiTheme="majorHAnsi" w:cstheme="majorHAnsi"/>
        </w:rPr>
        <w:t xml:space="preserve"> L’exception au droit d’auteur en faveur des personnes handicapées est définie aux articles L 122-5, L 122-5-1, L</w:t>
      </w:r>
      <w:r>
        <w:rPr>
          <w:rFonts w:asciiTheme="majorHAnsi" w:hAnsiTheme="majorHAnsi" w:cstheme="majorHAnsi"/>
        </w:rPr>
        <w:t> </w:t>
      </w:r>
      <w:r w:rsidRPr="00BB3438">
        <w:rPr>
          <w:rFonts w:asciiTheme="majorHAnsi" w:hAnsiTheme="majorHAnsi" w:cstheme="majorHAnsi"/>
        </w:rPr>
        <w:t>122-5-2 et R 122-13 à R 122-22 du code de la propriété intellectuelle.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C6BA0" w14:textId="77777777" w:rsidR="003F6AAA" w:rsidRDefault="003F6A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5C16C" w14:textId="77777777" w:rsidR="0029286B" w:rsidRDefault="0029286B" w:rsidP="00431915">
    <w:pPr>
      <w:pStyle w:val="En-tte"/>
    </w:pPr>
  </w:p>
  <w:p w14:paraId="57C9F585" w14:textId="77777777" w:rsidR="0029286B" w:rsidRDefault="0029286B" w:rsidP="00431915">
    <w:pPr>
      <w:pStyle w:val="En-tte"/>
    </w:pPr>
  </w:p>
  <w:p w14:paraId="79DCCC60" w14:textId="085CA473" w:rsidR="0029286B" w:rsidRDefault="002A41CE" w:rsidP="00431915">
    <w:pPr>
      <w:pStyle w:val="En-tte"/>
    </w:pPr>
    <w:r w:rsidRPr="003F6AAA">
      <w:rPr>
        <w:bCs/>
      </w:rPr>
      <w:t xml:space="preserve">Direction </w:t>
    </w:r>
    <w:r w:rsidR="003F6AAA" w:rsidRPr="003F6AAA">
      <w:rPr>
        <w:bCs/>
      </w:rPr>
      <w:t>g</w:t>
    </w:r>
    <w:r w:rsidRPr="003F6AAA">
      <w:rPr>
        <w:bCs/>
      </w:rPr>
      <w:t xml:space="preserve">énérale des </w:t>
    </w:r>
    <w:r w:rsidR="003F6AAA" w:rsidRPr="003F6AAA">
      <w:rPr>
        <w:bCs/>
      </w:rPr>
      <w:t>m</w:t>
    </w:r>
    <w:r w:rsidRPr="003F6AAA">
      <w:rPr>
        <w:bCs/>
      </w:rPr>
      <w:t xml:space="preserve">édias et des </w:t>
    </w:r>
    <w:r w:rsidR="003F6AAA" w:rsidRPr="003F6AAA">
      <w:rPr>
        <w:bCs/>
      </w:rPr>
      <w:t>i</w:t>
    </w:r>
    <w:r w:rsidRPr="003F6AAA">
      <w:rPr>
        <w:bCs/>
      </w:rPr>
      <w:t xml:space="preserve">ndustries </w:t>
    </w:r>
    <w:r w:rsidR="003F6AAA" w:rsidRPr="003F6AAA">
      <w:rPr>
        <w:bCs/>
      </w:rPr>
      <w:t>c</w:t>
    </w:r>
    <w:r w:rsidRPr="003F6AAA">
      <w:rPr>
        <w:bCs/>
      </w:rPr>
      <w:t>ulturelles</w:t>
    </w:r>
    <w:r>
      <w:tab/>
    </w:r>
    <w:r w:rsidR="003F6AAA">
      <w:t>Octobre 2024</w:t>
    </w:r>
  </w:p>
  <w:p w14:paraId="26997B1C" w14:textId="77777777" w:rsidR="0029286B" w:rsidRDefault="0029286B" w:rsidP="0043191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C52EE" w14:textId="77777777" w:rsidR="003F6AAA" w:rsidRDefault="003F6A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D0C05D4"/>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37617FC"/>
    <w:lvl w:ilvl="0">
      <w:start w:val="1"/>
      <w:numFmt w:val="decimal"/>
      <w:lvlText w:val="%1."/>
      <w:lvlJc w:val="left"/>
      <w:pPr>
        <w:tabs>
          <w:tab w:val="num" w:pos="643"/>
        </w:tabs>
        <w:ind w:left="643" w:hanging="360"/>
      </w:pPr>
    </w:lvl>
  </w:abstractNum>
  <w:abstractNum w:abstractNumId="2" w15:restartNumberingAfterBreak="0">
    <w:nsid w:val="02F644FD"/>
    <w:multiLevelType w:val="multilevel"/>
    <w:tmpl w:val="D71273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56E0DF8"/>
    <w:multiLevelType w:val="hybridMultilevel"/>
    <w:tmpl w:val="32B84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685A97"/>
    <w:multiLevelType w:val="multilevel"/>
    <w:tmpl w:val="365CEA2C"/>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765225A"/>
    <w:multiLevelType w:val="multilevel"/>
    <w:tmpl w:val="B2D0850C"/>
    <w:lvl w:ilvl="0">
      <w:start w:val="1"/>
      <w:numFmt w:val="upperRoman"/>
      <w:pStyle w:val="Titre1"/>
      <w:lvlText w:val="%1."/>
      <w:lvlJc w:val="left"/>
      <w:pPr>
        <w:ind w:left="0" w:firstLine="0"/>
      </w:pPr>
    </w:lvl>
    <w:lvl w:ilvl="1">
      <w:start w:val="1"/>
      <w:numFmt w:val="upperLetter"/>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6" w15:restartNumberingAfterBreak="0">
    <w:nsid w:val="182E61EC"/>
    <w:multiLevelType w:val="multilevel"/>
    <w:tmpl w:val="457C378A"/>
    <w:lvl w:ilvl="0">
      <w:start w:val="1"/>
      <w:numFmt w:val="decimal"/>
      <w:lvlText w:val="%1."/>
      <w:lvlJc w:val="left"/>
      <w:pPr>
        <w:ind w:left="360" w:hanging="360"/>
      </w:pPr>
      <w:rPr>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19BC08FE"/>
    <w:multiLevelType w:val="multilevel"/>
    <w:tmpl w:val="6B029F2A"/>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D9414D"/>
    <w:multiLevelType w:val="multilevel"/>
    <w:tmpl w:val="C670638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F040DAA"/>
    <w:multiLevelType w:val="multilevel"/>
    <w:tmpl w:val="CE3ED56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196FF4"/>
    <w:multiLevelType w:val="multilevel"/>
    <w:tmpl w:val="9196CEE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27760E75"/>
    <w:multiLevelType w:val="multilevel"/>
    <w:tmpl w:val="9F502A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6C4619"/>
    <w:multiLevelType w:val="multilevel"/>
    <w:tmpl w:val="F3328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8C35BF1"/>
    <w:multiLevelType w:val="multilevel"/>
    <w:tmpl w:val="EA8696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749758A"/>
    <w:multiLevelType w:val="hybridMultilevel"/>
    <w:tmpl w:val="E55CA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754C48"/>
    <w:multiLevelType w:val="multilevel"/>
    <w:tmpl w:val="5888AA28"/>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ABB3A82"/>
    <w:multiLevelType w:val="multilevel"/>
    <w:tmpl w:val="9196CEEE"/>
    <w:lvl w:ilvl="0">
      <w:start w:val="1"/>
      <w:numFmt w:val="upperRoman"/>
      <w:lvlText w:val="%1."/>
      <w:lvlJc w:val="left"/>
      <w:pPr>
        <w:ind w:left="0" w:firstLine="0"/>
      </w:pPr>
    </w:lvl>
    <w:lvl w:ilvl="1">
      <w:start w:val="1"/>
      <w:numFmt w:val="upperLetter"/>
      <w:lvlText w:val="%2."/>
      <w:lvlJc w:val="left"/>
      <w:pPr>
        <w:ind w:left="709"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4D48076F"/>
    <w:multiLevelType w:val="hybridMultilevel"/>
    <w:tmpl w:val="98D6F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E14067"/>
    <w:multiLevelType w:val="hybridMultilevel"/>
    <w:tmpl w:val="03FE8B7C"/>
    <w:lvl w:ilvl="0" w:tplc="040C000F">
      <w:start w:val="1"/>
      <w:numFmt w:val="decimal"/>
      <w:pStyle w:val="Titre2"/>
      <w:lvlText w:val="%1."/>
      <w:lvlJc w:val="left"/>
      <w:pPr>
        <w:ind w:left="1437"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75B455CF"/>
    <w:multiLevelType w:val="multilevel"/>
    <w:tmpl w:val="7D9064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6555BCD"/>
    <w:multiLevelType w:val="multilevel"/>
    <w:tmpl w:val="1ABE66F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7C547793"/>
    <w:multiLevelType w:val="multilevel"/>
    <w:tmpl w:val="352065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D7A0A26"/>
    <w:multiLevelType w:val="multilevel"/>
    <w:tmpl w:val="1506DA4A"/>
    <w:lvl w:ilvl="0">
      <w:start w:val="1"/>
      <w:numFmt w:val="bullet"/>
      <w:lvlText w:val="-"/>
      <w:lvlJc w:val="left"/>
      <w:pPr>
        <w:ind w:left="720" w:hanging="360"/>
      </w:pPr>
      <w:rPr>
        <w:rFonts w:ascii="Helvetica" w:hAnsi="Helvetica"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06877017">
    <w:abstractNumId w:val="5"/>
  </w:num>
  <w:num w:numId="2" w16cid:durableId="1925726819">
    <w:abstractNumId w:val="13"/>
  </w:num>
  <w:num w:numId="3" w16cid:durableId="673654136">
    <w:abstractNumId w:val="12"/>
  </w:num>
  <w:num w:numId="4" w16cid:durableId="2025743627">
    <w:abstractNumId w:val="11"/>
  </w:num>
  <w:num w:numId="5" w16cid:durableId="31080811">
    <w:abstractNumId w:val="6"/>
  </w:num>
  <w:num w:numId="6" w16cid:durableId="536238488">
    <w:abstractNumId w:val="22"/>
  </w:num>
  <w:num w:numId="7" w16cid:durableId="588202446">
    <w:abstractNumId w:val="19"/>
  </w:num>
  <w:num w:numId="8" w16cid:durableId="593325239">
    <w:abstractNumId w:val="21"/>
  </w:num>
  <w:num w:numId="9" w16cid:durableId="1765497436">
    <w:abstractNumId w:val="20"/>
  </w:num>
  <w:num w:numId="10" w16cid:durableId="945580589">
    <w:abstractNumId w:val="16"/>
  </w:num>
  <w:num w:numId="11" w16cid:durableId="1200818524">
    <w:abstractNumId w:val="7"/>
  </w:num>
  <w:num w:numId="12" w16cid:durableId="581109729">
    <w:abstractNumId w:val="15"/>
  </w:num>
  <w:num w:numId="13" w16cid:durableId="1968242783">
    <w:abstractNumId w:val="1"/>
  </w:num>
  <w:num w:numId="14" w16cid:durableId="99029748">
    <w:abstractNumId w:val="0"/>
  </w:num>
  <w:num w:numId="15" w16cid:durableId="907109611">
    <w:abstractNumId w:val="2"/>
  </w:num>
  <w:num w:numId="16" w16cid:durableId="36247471">
    <w:abstractNumId w:val="8"/>
  </w:num>
  <w:num w:numId="17" w16cid:durableId="391737630">
    <w:abstractNumId w:val="10"/>
  </w:num>
  <w:num w:numId="18" w16cid:durableId="1804885588">
    <w:abstractNumId w:val="18"/>
  </w:num>
  <w:num w:numId="19" w16cid:durableId="1367485797">
    <w:abstractNumId w:val="18"/>
  </w:num>
  <w:num w:numId="20" w16cid:durableId="118962789">
    <w:abstractNumId w:val="9"/>
  </w:num>
  <w:num w:numId="21" w16cid:durableId="774138137">
    <w:abstractNumId w:val="4"/>
  </w:num>
  <w:num w:numId="22" w16cid:durableId="1112016978">
    <w:abstractNumId w:val="14"/>
  </w:num>
  <w:num w:numId="23" w16cid:durableId="737483458">
    <w:abstractNumId w:val="3"/>
  </w:num>
  <w:num w:numId="24" w16cid:durableId="1574704944">
    <w:abstractNumId w:val="17"/>
  </w:num>
  <w:num w:numId="25" w16cid:durableId="1344745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6B"/>
    <w:rsid w:val="000157E4"/>
    <w:rsid w:val="00024119"/>
    <w:rsid w:val="00026571"/>
    <w:rsid w:val="0003659E"/>
    <w:rsid w:val="00053D6F"/>
    <w:rsid w:val="0006686D"/>
    <w:rsid w:val="00093D43"/>
    <w:rsid w:val="00095478"/>
    <w:rsid w:val="000A283F"/>
    <w:rsid w:val="000A2F53"/>
    <w:rsid w:val="000C3FC1"/>
    <w:rsid w:val="000D2B31"/>
    <w:rsid w:val="000E3A2F"/>
    <w:rsid w:val="000E7C15"/>
    <w:rsid w:val="000F06B7"/>
    <w:rsid w:val="000F60FE"/>
    <w:rsid w:val="00104237"/>
    <w:rsid w:val="001051C7"/>
    <w:rsid w:val="00116C49"/>
    <w:rsid w:val="00125C82"/>
    <w:rsid w:val="001344D3"/>
    <w:rsid w:val="0013730A"/>
    <w:rsid w:val="0016478E"/>
    <w:rsid w:val="00185713"/>
    <w:rsid w:val="001957CF"/>
    <w:rsid w:val="001B2211"/>
    <w:rsid w:val="001B2947"/>
    <w:rsid w:val="001D0043"/>
    <w:rsid w:val="001F2756"/>
    <w:rsid w:val="00210C50"/>
    <w:rsid w:val="00210CD2"/>
    <w:rsid w:val="0022579A"/>
    <w:rsid w:val="002362D7"/>
    <w:rsid w:val="002407EE"/>
    <w:rsid w:val="002428A5"/>
    <w:rsid w:val="0026746B"/>
    <w:rsid w:val="00276D13"/>
    <w:rsid w:val="0029286B"/>
    <w:rsid w:val="002A2F66"/>
    <w:rsid w:val="002A41CE"/>
    <w:rsid w:val="002C5495"/>
    <w:rsid w:val="002E74F4"/>
    <w:rsid w:val="002F038A"/>
    <w:rsid w:val="002F145E"/>
    <w:rsid w:val="00304CEB"/>
    <w:rsid w:val="00327C99"/>
    <w:rsid w:val="003334E5"/>
    <w:rsid w:val="00337D67"/>
    <w:rsid w:val="003455FC"/>
    <w:rsid w:val="00360FFD"/>
    <w:rsid w:val="003A7DE6"/>
    <w:rsid w:val="003C2A21"/>
    <w:rsid w:val="003D1574"/>
    <w:rsid w:val="003F15DF"/>
    <w:rsid w:val="003F40F5"/>
    <w:rsid w:val="003F6AAA"/>
    <w:rsid w:val="0040692B"/>
    <w:rsid w:val="00431915"/>
    <w:rsid w:val="004413B4"/>
    <w:rsid w:val="004425B7"/>
    <w:rsid w:val="00443433"/>
    <w:rsid w:val="00446996"/>
    <w:rsid w:val="00451394"/>
    <w:rsid w:val="004736A1"/>
    <w:rsid w:val="00482033"/>
    <w:rsid w:val="0048384E"/>
    <w:rsid w:val="00491FC9"/>
    <w:rsid w:val="00493A2C"/>
    <w:rsid w:val="004C0DFC"/>
    <w:rsid w:val="004C25AE"/>
    <w:rsid w:val="004C3930"/>
    <w:rsid w:val="004F07A0"/>
    <w:rsid w:val="004F0F8C"/>
    <w:rsid w:val="00524035"/>
    <w:rsid w:val="0055384F"/>
    <w:rsid w:val="00566C19"/>
    <w:rsid w:val="00573DD1"/>
    <w:rsid w:val="0058751E"/>
    <w:rsid w:val="0059639D"/>
    <w:rsid w:val="00597384"/>
    <w:rsid w:val="005A5AB9"/>
    <w:rsid w:val="005B21E8"/>
    <w:rsid w:val="005C2274"/>
    <w:rsid w:val="005D2E03"/>
    <w:rsid w:val="00603240"/>
    <w:rsid w:val="00606F55"/>
    <w:rsid w:val="00613E89"/>
    <w:rsid w:val="006323C1"/>
    <w:rsid w:val="006804A6"/>
    <w:rsid w:val="0069065C"/>
    <w:rsid w:val="006B178B"/>
    <w:rsid w:val="006C2FA8"/>
    <w:rsid w:val="006C31C5"/>
    <w:rsid w:val="006F6A01"/>
    <w:rsid w:val="00700669"/>
    <w:rsid w:val="007019B1"/>
    <w:rsid w:val="0073011E"/>
    <w:rsid w:val="00741259"/>
    <w:rsid w:val="00790E4F"/>
    <w:rsid w:val="00796345"/>
    <w:rsid w:val="007B74C6"/>
    <w:rsid w:val="007C6261"/>
    <w:rsid w:val="007D03CD"/>
    <w:rsid w:val="007E4B35"/>
    <w:rsid w:val="007E536B"/>
    <w:rsid w:val="007E536E"/>
    <w:rsid w:val="007F4F1A"/>
    <w:rsid w:val="0082000C"/>
    <w:rsid w:val="00827942"/>
    <w:rsid w:val="00830D28"/>
    <w:rsid w:val="0083193D"/>
    <w:rsid w:val="00837306"/>
    <w:rsid w:val="008511D0"/>
    <w:rsid w:val="00854BA2"/>
    <w:rsid w:val="00856C50"/>
    <w:rsid w:val="00860ED0"/>
    <w:rsid w:val="008668FF"/>
    <w:rsid w:val="00867AD6"/>
    <w:rsid w:val="008812ED"/>
    <w:rsid w:val="00892E4A"/>
    <w:rsid w:val="00895D16"/>
    <w:rsid w:val="008960ED"/>
    <w:rsid w:val="008B40F4"/>
    <w:rsid w:val="008D094F"/>
    <w:rsid w:val="008D16B9"/>
    <w:rsid w:val="008D5F00"/>
    <w:rsid w:val="008D5F9F"/>
    <w:rsid w:val="008E2A76"/>
    <w:rsid w:val="00917304"/>
    <w:rsid w:val="0092249A"/>
    <w:rsid w:val="00923C56"/>
    <w:rsid w:val="009671CC"/>
    <w:rsid w:val="00983921"/>
    <w:rsid w:val="00983EDB"/>
    <w:rsid w:val="00993A06"/>
    <w:rsid w:val="009979F5"/>
    <w:rsid w:val="009B6991"/>
    <w:rsid w:val="00A23D2B"/>
    <w:rsid w:val="00A26338"/>
    <w:rsid w:val="00A36F64"/>
    <w:rsid w:val="00A54073"/>
    <w:rsid w:val="00A621CA"/>
    <w:rsid w:val="00A87FB6"/>
    <w:rsid w:val="00AA0729"/>
    <w:rsid w:val="00AA111A"/>
    <w:rsid w:val="00AF6F80"/>
    <w:rsid w:val="00B05260"/>
    <w:rsid w:val="00B138F8"/>
    <w:rsid w:val="00B27A2E"/>
    <w:rsid w:val="00B32A55"/>
    <w:rsid w:val="00B3454A"/>
    <w:rsid w:val="00B36FFD"/>
    <w:rsid w:val="00B64479"/>
    <w:rsid w:val="00B82D75"/>
    <w:rsid w:val="00B84F46"/>
    <w:rsid w:val="00B85F13"/>
    <w:rsid w:val="00B923BF"/>
    <w:rsid w:val="00B976CC"/>
    <w:rsid w:val="00BB3438"/>
    <w:rsid w:val="00BB6BB9"/>
    <w:rsid w:val="00BC0D48"/>
    <w:rsid w:val="00BC382F"/>
    <w:rsid w:val="00BE37CE"/>
    <w:rsid w:val="00BE3A99"/>
    <w:rsid w:val="00BE7C5A"/>
    <w:rsid w:val="00C143B4"/>
    <w:rsid w:val="00C46C41"/>
    <w:rsid w:val="00C659FD"/>
    <w:rsid w:val="00C72638"/>
    <w:rsid w:val="00C91281"/>
    <w:rsid w:val="00C97CC4"/>
    <w:rsid w:val="00CA7187"/>
    <w:rsid w:val="00CB2A22"/>
    <w:rsid w:val="00CC006C"/>
    <w:rsid w:val="00CD405B"/>
    <w:rsid w:val="00CE46C9"/>
    <w:rsid w:val="00CF36AB"/>
    <w:rsid w:val="00CF5C82"/>
    <w:rsid w:val="00D2601F"/>
    <w:rsid w:val="00D513C1"/>
    <w:rsid w:val="00D74DD7"/>
    <w:rsid w:val="00DA1BF0"/>
    <w:rsid w:val="00DA5330"/>
    <w:rsid w:val="00DB7FB5"/>
    <w:rsid w:val="00DC212A"/>
    <w:rsid w:val="00DC5B7C"/>
    <w:rsid w:val="00DC600F"/>
    <w:rsid w:val="00DC692F"/>
    <w:rsid w:val="00DD3D49"/>
    <w:rsid w:val="00DE6A9B"/>
    <w:rsid w:val="00DE6DE1"/>
    <w:rsid w:val="00DE7280"/>
    <w:rsid w:val="00DF04FA"/>
    <w:rsid w:val="00E30A11"/>
    <w:rsid w:val="00E3101C"/>
    <w:rsid w:val="00E467DA"/>
    <w:rsid w:val="00E5570D"/>
    <w:rsid w:val="00E77141"/>
    <w:rsid w:val="00E876F9"/>
    <w:rsid w:val="00E93E09"/>
    <w:rsid w:val="00EB21DA"/>
    <w:rsid w:val="00EC42A8"/>
    <w:rsid w:val="00EE0F56"/>
    <w:rsid w:val="00EF301E"/>
    <w:rsid w:val="00EF4BE6"/>
    <w:rsid w:val="00F06F0A"/>
    <w:rsid w:val="00F10A35"/>
    <w:rsid w:val="00F14F3A"/>
    <w:rsid w:val="00F150A8"/>
    <w:rsid w:val="00F17D98"/>
    <w:rsid w:val="00F432A4"/>
    <w:rsid w:val="00F54C1B"/>
    <w:rsid w:val="00F66F88"/>
    <w:rsid w:val="00F67339"/>
    <w:rsid w:val="00F82372"/>
    <w:rsid w:val="00F9316C"/>
    <w:rsid w:val="00FA6449"/>
    <w:rsid w:val="00FB514C"/>
    <w:rsid w:val="00FB79D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9796F"/>
  <w15:docId w15:val="{712932F2-840E-4EB9-AE97-FE68A670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0" w:defSemiHidden="0" w:defUnhideWhenUsed="0" w:defQFormat="0" w:count="376">
    <w:lsdException w:name="heading 2" w:uiPriority="9"/>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915"/>
    <w:pPr>
      <w:spacing w:after="100" w:line="276" w:lineRule="auto"/>
      <w:jc w:val="both"/>
    </w:pPr>
    <w:rPr>
      <w:rFonts w:ascii="Helvetica" w:hAnsi="Helvetica"/>
    </w:rPr>
  </w:style>
  <w:style w:type="paragraph" w:styleId="Titre1">
    <w:name w:val="heading 1"/>
    <w:basedOn w:val="Normal"/>
    <w:next w:val="Normal"/>
    <w:link w:val="Titre1Car"/>
    <w:uiPriority w:val="9"/>
    <w:qFormat/>
    <w:rsid w:val="007E4B35"/>
    <w:pPr>
      <w:keepNext/>
      <w:keepLines/>
      <w:numPr>
        <w:numId w:val="1"/>
      </w:numPr>
      <w:spacing w:before="240" w:after="120"/>
      <w:jc w:val="left"/>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autoRedefine/>
    <w:uiPriority w:val="9"/>
    <w:rsid w:val="008812ED"/>
    <w:pPr>
      <w:keepNext/>
      <w:keepLines/>
      <w:numPr>
        <w:numId w:val="18"/>
      </w:numPr>
      <w:spacing w:before="160" w:after="120"/>
      <w:jc w:val="left"/>
      <w:outlineLvl w:val="1"/>
    </w:pPr>
    <w:rPr>
      <w:rFonts w:asciiTheme="majorHAnsi" w:hAnsiTheme="majorHAnsi"/>
      <w:b/>
      <w:i/>
      <w:sz w:val="28"/>
    </w:rPr>
  </w:style>
  <w:style w:type="paragraph" w:styleId="Titre3">
    <w:name w:val="heading 3"/>
    <w:basedOn w:val="Normal"/>
    <w:next w:val="Normal"/>
    <w:link w:val="Titre3Car"/>
    <w:rsid w:val="000C001B"/>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rsid w:val="000C001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rsid w:val="000C001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rsid w:val="000C001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rsid w:val="000C001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rsid w:val="000C001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rsid w:val="000C001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8812ED"/>
    <w:rPr>
      <w:rFonts w:asciiTheme="majorHAnsi" w:hAnsiTheme="majorHAnsi"/>
      <w:b/>
      <w:i/>
      <w:sz w:val="28"/>
    </w:rPr>
  </w:style>
  <w:style w:type="character" w:customStyle="1" w:styleId="apple-converted-space">
    <w:name w:val="apple-converted-space"/>
    <w:basedOn w:val="Policepardfaut"/>
    <w:qFormat/>
    <w:rsid w:val="003B7CE0"/>
  </w:style>
  <w:style w:type="character" w:customStyle="1" w:styleId="LienInternet">
    <w:name w:val="Lien Internet"/>
    <w:basedOn w:val="Policepardfaut"/>
    <w:uiPriority w:val="99"/>
    <w:unhideWhenUsed/>
    <w:rsid w:val="009D707E"/>
    <w:rPr>
      <w:color w:val="0000FF" w:themeColor="hyperlink"/>
      <w:u w:val="single"/>
    </w:rPr>
  </w:style>
  <w:style w:type="character" w:customStyle="1" w:styleId="TextedebullesCar">
    <w:name w:val="Texte de bulles Car"/>
    <w:basedOn w:val="Policepardfaut"/>
    <w:link w:val="Textedebulles"/>
    <w:uiPriority w:val="99"/>
    <w:semiHidden/>
    <w:qFormat/>
    <w:rsid w:val="003B7CE0"/>
    <w:rPr>
      <w:rFonts w:ascii="Lucida Grande" w:hAnsi="Lucida Grande"/>
      <w:sz w:val="18"/>
      <w:szCs w:val="18"/>
    </w:rPr>
  </w:style>
  <w:style w:type="character" w:customStyle="1" w:styleId="Titre1Car">
    <w:name w:val="Titre 1 Car"/>
    <w:basedOn w:val="Policepardfaut"/>
    <w:link w:val="Titre1"/>
    <w:uiPriority w:val="9"/>
    <w:qFormat/>
    <w:rsid w:val="007E4B35"/>
    <w:rPr>
      <w:rFonts w:asciiTheme="majorHAnsi" w:eastAsiaTheme="majorEastAsia" w:hAnsiTheme="majorHAnsi" w:cstheme="majorBidi"/>
      <w:b/>
      <w:bCs/>
      <w:sz w:val="32"/>
      <w:szCs w:val="32"/>
    </w:rPr>
  </w:style>
  <w:style w:type="character" w:customStyle="1" w:styleId="En-tteCar">
    <w:name w:val="En-tête Car"/>
    <w:basedOn w:val="Policepardfaut"/>
    <w:uiPriority w:val="99"/>
    <w:qFormat/>
    <w:rsid w:val="00C62644"/>
  </w:style>
  <w:style w:type="character" w:customStyle="1" w:styleId="PieddepageCar">
    <w:name w:val="Pied de page Car"/>
    <w:basedOn w:val="Policepardfaut"/>
    <w:link w:val="Pieddepage"/>
    <w:qFormat/>
    <w:rsid w:val="00C62644"/>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enInternetvisit">
    <w:name w:val="Lien Internet visité"/>
    <w:rPr>
      <w:color w:val="800000"/>
      <w:u w:val="single"/>
    </w:rPr>
  </w:style>
  <w:style w:type="character" w:customStyle="1" w:styleId="ListLabel46">
    <w:name w:val="ListLabel 46"/>
    <w:qFormat/>
    <w:rPr>
      <w:rFonts w:ascii="Helvetica" w:hAnsi="Helvetica"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Helvetica" w:hAnsi="Helvetica"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Helvetica" w:hAnsi="Helvetica"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CommentaireCar">
    <w:name w:val="Commentaire Car"/>
    <w:basedOn w:val="Policepardfaut"/>
    <w:link w:val="Commentaire"/>
    <w:qFormat/>
    <w:rPr>
      <w:color w:val="00000A"/>
      <w:szCs w:val="20"/>
    </w:rPr>
  </w:style>
  <w:style w:type="character" w:styleId="Marquedecommentaire">
    <w:name w:val="annotation reference"/>
    <w:basedOn w:val="Policepardfaut"/>
    <w:semiHidden/>
    <w:unhideWhenUsed/>
    <w:qFormat/>
    <w:rPr>
      <w:sz w:val="16"/>
      <w:szCs w:val="16"/>
    </w:rPr>
  </w:style>
  <w:style w:type="character" w:styleId="Lienhypertextesuivivisit">
    <w:name w:val="FollowedHyperlink"/>
    <w:basedOn w:val="Policepardfaut"/>
    <w:qFormat/>
    <w:rsid w:val="00A06F04"/>
    <w:rPr>
      <w:color w:val="800080" w:themeColor="followedHyperlink"/>
      <w:u w:val="single"/>
    </w:rPr>
  </w:style>
  <w:style w:type="character" w:customStyle="1" w:styleId="st">
    <w:name w:val="st"/>
    <w:basedOn w:val="Policepardfaut"/>
    <w:qFormat/>
    <w:rsid w:val="00A07FF8"/>
  </w:style>
  <w:style w:type="character" w:customStyle="1" w:styleId="Titre3Car">
    <w:name w:val="Titre 3 Car"/>
    <w:basedOn w:val="Policepardfaut"/>
    <w:link w:val="Titre3"/>
    <w:qFormat/>
    <w:rsid w:val="000C001B"/>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qFormat/>
    <w:rsid w:val="000C001B"/>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qFormat/>
    <w:rsid w:val="000C001B"/>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qFormat/>
    <w:rsid w:val="000C001B"/>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qFormat/>
    <w:rsid w:val="000C001B"/>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qFormat/>
    <w:rsid w:val="000C001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qFormat/>
    <w:rsid w:val="000C001B"/>
    <w:rPr>
      <w:rFonts w:asciiTheme="majorHAnsi" w:eastAsiaTheme="majorEastAsia" w:hAnsiTheme="majorHAnsi" w:cstheme="majorBidi"/>
      <w:i/>
      <w:iCs/>
      <w:color w:val="272727" w:themeColor="text1" w:themeTint="D8"/>
      <w:sz w:val="21"/>
      <w:szCs w:val="21"/>
    </w:rPr>
  </w:style>
  <w:style w:type="character" w:customStyle="1" w:styleId="TitreCar">
    <w:name w:val="Titre Car"/>
    <w:basedOn w:val="Policepardfaut"/>
    <w:link w:val="Titre"/>
    <w:qFormat/>
    <w:rsid w:val="00895D16"/>
    <w:rPr>
      <w:rFonts w:ascii="Helvetica" w:eastAsiaTheme="minorHAnsi" w:hAnsi="Helvetica" w:cs="Calibri,Bold"/>
      <w:b/>
      <w:bCs/>
      <w:color w:val="000000"/>
      <w:sz w:val="32"/>
      <w:szCs w:val="32"/>
      <w:lang w:eastAsia="en-US"/>
    </w:rPr>
  </w:style>
  <w:style w:type="character" w:customStyle="1" w:styleId="ObjetducommentaireCar">
    <w:name w:val="Objet du commentaire Car"/>
    <w:basedOn w:val="CommentaireCar"/>
    <w:link w:val="Objetducommentaire"/>
    <w:semiHidden/>
    <w:qFormat/>
    <w:rsid w:val="002C750A"/>
    <w:rPr>
      <w:rFonts w:ascii="Helvetica" w:hAnsi="Helvetica"/>
      <w:b/>
      <w:bCs/>
      <w:color w:val="00000A"/>
      <w:szCs w:val="20"/>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Helvetica"/>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Helvetica"/>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eastAsia="Microsoft YaHei" w:cs="Arial"/>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sz w:val="24"/>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Accentuationforte">
    <w:name w:val="Accentuation forte"/>
    <w:rPr>
      <w:b/>
      <w:bCs/>
    </w:rPr>
  </w:style>
  <w:style w:type="paragraph" w:styleId="Titre">
    <w:name w:val="Title"/>
    <w:basedOn w:val="Titreprincipal"/>
    <w:next w:val="Corpsdetexte"/>
    <w:link w:val="TitreCar"/>
    <w:qFormat/>
    <w:rsid w:val="00895D16"/>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principal">
    <w:name w:val="Titre principal"/>
    <w:basedOn w:val="Paragraphedeliste"/>
    <w:next w:val="Normal"/>
    <w:uiPriority w:val="10"/>
    <w:qFormat/>
    <w:rsid w:val="002A41CE"/>
    <w:pPr>
      <w:spacing w:after="0"/>
    </w:pPr>
    <w:rPr>
      <w:rFonts w:eastAsiaTheme="minorHAnsi" w:cs="Calibri,Bold"/>
      <w:b/>
      <w:bCs/>
      <w:color w:val="000000"/>
      <w:sz w:val="32"/>
      <w:szCs w:val="32"/>
      <w:lang w:eastAsia="en-US"/>
    </w:rPr>
  </w:style>
  <w:style w:type="paragraph" w:styleId="NormalWeb">
    <w:name w:val="Normal (Web)"/>
    <w:basedOn w:val="Normal"/>
    <w:uiPriority w:val="99"/>
    <w:qFormat/>
    <w:rsid w:val="003B7CE0"/>
    <w:pPr>
      <w:spacing w:before="2" w:after="2"/>
    </w:pPr>
    <w:rPr>
      <w:rFonts w:ascii="Times" w:hAnsi="Times" w:cs="Times New Roman"/>
    </w:rPr>
  </w:style>
  <w:style w:type="paragraph" w:styleId="Textedebulles">
    <w:name w:val="Balloon Text"/>
    <w:basedOn w:val="Normal"/>
    <w:link w:val="TextedebullesCar"/>
    <w:uiPriority w:val="99"/>
    <w:semiHidden/>
    <w:unhideWhenUsed/>
    <w:qFormat/>
    <w:rsid w:val="003B7CE0"/>
    <w:pPr>
      <w:spacing w:after="0"/>
    </w:pPr>
    <w:rPr>
      <w:rFonts w:ascii="Lucida Grande" w:hAnsi="Lucida Grande"/>
      <w:sz w:val="18"/>
      <w:szCs w:val="18"/>
    </w:rPr>
  </w:style>
  <w:style w:type="paragraph" w:styleId="Paragraphedeliste">
    <w:name w:val="List Paragraph"/>
    <w:basedOn w:val="Normal"/>
    <w:uiPriority w:val="34"/>
    <w:qFormat/>
    <w:rsid w:val="00641487"/>
    <w:pPr>
      <w:ind w:left="720"/>
      <w:contextualSpacing/>
    </w:pPr>
  </w:style>
  <w:style w:type="paragraph" w:styleId="En-tte">
    <w:name w:val="header"/>
    <w:basedOn w:val="Normal"/>
    <w:rsid w:val="003D1574"/>
    <w:pPr>
      <w:tabs>
        <w:tab w:val="center" w:pos="4536"/>
        <w:tab w:val="right" w:pos="9072"/>
      </w:tabs>
      <w:spacing w:after="0"/>
    </w:pPr>
    <w:rPr>
      <w:sz w:val="18"/>
    </w:rPr>
  </w:style>
  <w:style w:type="paragraph" w:styleId="Pieddepage">
    <w:name w:val="footer"/>
    <w:basedOn w:val="Normal"/>
    <w:link w:val="PieddepageCar"/>
    <w:rsid w:val="00C62644"/>
    <w:pPr>
      <w:tabs>
        <w:tab w:val="center" w:pos="4536"/>
        <w:tab w:val="right" w:pos="9072"/>
      </w:tabs>
      <w:spacing w:after="0"/>
    </w:pPr>
  </w:style>
  <w:style w:type="paragraph" w:styleId="Sansinterligne">
    <w:name w:val="No Spacing"/>
    <w:qFormat/>
    <w:rsid w:val="004D42F0"/>
    <w:rPr>
      <w:rFonts w:ascii="Cambria" w:hAnsi="Cambria"/>
      <w:color w:val="00000A"/>
      <w:sz w:val="24"/>
    </w:rPr>
  </w:style>
  <w:style w:type="paragraph" w:styleId="Commentaire">
    <w:name w:val="annotation text"/>
    <w:basedOn w:val="Normal"/>
    <w:link w:val="CommentaireCar"/>
    <w:unhideWhenUsed/>
    <w:qFormat/>
  </w:style>
  <w:style w:type="paragraph" w:customStyle="1" w:styleId="Standard">
    <w:name w:val="Standard"/>
    <w:qFormat/>
    <w:rsid w:val="00760154"/>
    <w:pPr>
      <w:widowControl w:val="0"/>
      <w:suppressAutoHyphens/>
      <w:textAlignment w:val="baseline"/>
    </w:pPr>
    <w:rPr>
      <w:rFonts w:ascii="Times New Roman" w:eastAsia="SimSun" w:hAnsi="Times New Roman" w:cs="Mangal"/>
      <w:sz w:val="24"/>
      <w:szCs w:val="24"/>
      <w:lang w:eastAsia="zh-CN" w:bidi="hi-IN"/>
    </w:rPr>
  </w:style>
  <w:style w:type="paragraph" w:styleId="Objetducommentaire">
    <w:name w:val="annotation subject"/>
    <w:basedOn w:val="Commentaire"/>
    <w:link w:val="ObjetducommentaireCar"/>
    <w:semiHidden/>
    <w:unhideWhenUsed/>
    <w:qFormat/>
    <w:rsid w:val="002C750A"/>
    <w:rPr>
      <w:b/>
      <w:bCs/>
    </w:rPr>
  </w:style>
  <w:style w:type="table" w:styleId="Grilledutableau">
    <w:name w:val="Table Grid"/>
    <w:basedOn w:val="TableauNormal"/>
    <w:uiPriority w:val="59"/>
    <w:rsid w:val="00290401"/>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B85F13"/>
    <w:rPr>
      <w:color w:val="0000FF" w:themeColor="hyperlink"/>
      <w:u w:val="single"/>
    </w:rPr>
  </w:style>
  <w:style w:type="character" w:styleId="Mentionnonrsolue">
    <w:name w:val="Unresolved Mention"/>
    <w:basedOn w:val="Policepardfaut"/>
    <w:uiPriority w:val="99"/>
    <w:semiHidden/>
    <w:unhideWhenUsed/>
    <w:rsid w:val="003F6AAA"/>
    <w:rPr>
      <w:color w:val="605E5C"/>
      <w:shd w:val="clear" w:color="auto" w:fill="E1DFDD"/>
    </w:rPr>
  </w:style>
  <w:style w:type="paragraph" w:styleId="Notedebasdepage">
    <w:name w:val="footnote text"/>
    <w:basedOn w:val="Normal"/>
    <w:link w:val="NotedebasdepageCar"/>
    <w:uiPriority w:val="99"/>
    <w:semiHidden/>
    <w:unhideWhenUsed/>
    <w:rsid w:val="00BB3438"/>
    <w:pPr>
      <w:widowControl w:val="0"/>
      <w:spacing w:after="0" w:line="240" w:lineRule="auto"/>
    </w:pPr>
    <w:rPr>
      <w:rFonts w:ascii="Times New Roman" w:eastAsia="Andale Sans UI" w:hAnsi="Times New Roman" w:cs="Tahoma"/>
      <w:color w:val="000000"/>
      <w:lang w:eastAsia="en-US" w:bidi="en-US"/>
    </w:rPr>
  </w:style>
  <w:style w:type="character" w:customStyle="1" w:styleId="NotedebasdepageCar">
    <w:name w:val="Note de bas de page Car"/>
    <w:basedOn w:val="Policepardfaut"/>
    <w:link w:val="Notedebasdepage"/>
    <w:uiPriority w:val="99"/>
    <w:semiHidden/>
    <w:rsid w:val="00BB3438"/>
    <w:rPr>
      <w:rFonts w:ascii="Times New Roman" w:eastAsia="Andale Sans UI" w:hAnsi="Times New Roman" w:cs="Tahoma"/>
      <w:color w:val="000000"/>
      <w:lang w:eastAsia="en-US" w:bidi="en-US"/>
    </w:rPr>
  </w:style>
  <w:style w:type="character" w:styleId="Appelnotedebasdep">
    <w:name w:val="footnote reference"/>
    <w:basedOn w:val="Policepardfaut"/>
    <w:uiPriority w:val="99"/>
    <w:semiHidden/>
    <w:unhideWhenUsed/>
    <w:rsid w:val="00BB3438"/>
    <w:rPr>
      <w:vertAlign w:val="superscript"/>
    </w:rPr>
  </w:style>
  <w:style w:type="paragraph" w:styleId="TM1">
    <w:name w:val="toc 1"/>
    <w:basedOn w:val="Normal"/>
    <w:next w:val="Normal"/>
    <w:autoRedefine/>
    <w:uiPriority w:val="39"/>
    <w:unhideWhenUsed/>
    <w:rsid w:val="0016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714690">
      <w:bodyDiv w:val="1"/>
      <w:marLeft w:val="0"/>
      <w:marRight w:val="0"/>
      <w:marTop w:val="0"/>
      <w:marBottom w:val="0"/>
      <w:divBdr>
        <w:top w:val="none" w:sz="0" w:space="0" w:color="auto"/>
        <w:left w:val="none" w:sz="0" w:space="0" w:color="auto"/>
        <w:bottom w:val="none" w:sz="0" w:space="0" w:color="auto"/>
        <w:right w:val="none" w:sz="0" w:space="0" w:color="auto"/>
      </w:divBdr>
    </w:div>
    <w:div w:id="1207066180">
      <w:bodyDiv w:val="1"/>
      <w:marLeft w:val="0"/>
      <w:marRight w:val="0"/>
      <w:marTop w:val="0"/>
      <w:marBottom w:val="0"/>
      <w:divBdr>
        <w:top w:val="none" w:sz="0" w:space="0" w:color="auto"/>
        <w:left w:val="none" w:sz="0" w:space="0" w:color="auto"/>
        <w:bottom w:val="none" w:sz="0" w:space="0" w:color="auto"/>
        <w:right w:val="none" w:sz="0" w:space="0" w:color="auto"/>
      </w:divBdr>
    </w:div>
    <w:div w:id="168127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Article.do?cidTexte=LEGITEXT000006069414&amp;idArticle=LEGIARTI000019989922&amp;dateTexte=&amp;categorieLien=cid" TargetMode="External"/><Relationship Id="rId18" Type="http://schemas.openxmlformats.org/officeDocument/2006/relationships/hyperlink" Target="https://exceptionhandicap.bnf.fr/platon-web/"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ulture.gouv.fr/catalogue-des-demarches-et-subventions/subvention/dotation-generale-de-decentralisation-dgd" TargetMode="External"/><Relationship Id="rId7" Type="http://schemas.openxmlformats.org/officeDocument/2006/relationships/endnotes" Target="endnotes.xml"/><Relationship Id="rId12" Type="http://schemas.openxmlformats.org/officeDocument/2006/relationships/hyperlink" Target="https://www.legifrance.gouv.fr/affichCodeArticle.do;jsessionid=53BC311FB3F5F60DFAC7971CE8FD778F.tpdila09v_1?idArticle=LEGIARTI000032856481&amp;cidTexte=LEGITEXT000006069414&amp;dateTexte=20170306" TargetMode="External"/><Relationship Id="rId17" Type="http://schemas.openxmlformats.org/officeDocument/2006/relationships/hyperlink" Target="https://www.cnil.fr/fr/declaration/ns-019-traitements-statistiques-particuliers" TargetMode="External"/><Relationship Id="rId25" Type="http://schemas.openxmlformats.org/officeDocument/2006/relationships/hyperlink" Target="https://www.legifrance.gouv.fr/affichCodeArticle.do;jsessionid=53BC311FB3F5F60DFAC7971CE8FD778F.tpdila09v_1?idArticle=LEGIARTI000032856481&amp;cidTexte=LEGITEXT000006069414&amp;dateTexte=201703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ole.avh.asso.fr/" TargetMode="External"/><Relationship Id="rId20" Type="http://schemas.openxmlformats.org/officeDocument/2006/relationships/hyperlink" Target="https://centrenationaldulivre.fr/aides-financement/aide-au-developpement-de-la-lecture-aupres-des-publics-specifiqu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jsessionid=53BC311FB3F5F60DFAC7971CE8FD778F.tpdila09v_1?idArticle=LEGIARTI000032856479&amp;cidTexte=LEGITEXT000006069414&amp;dateTexte=20170306" TargetMode="External"/><Relationship Id="rId24" Type="http://schemas.openxmlformats.org/officeDocument/2006/relationships/hyperlink" Target="https://www.legifrance.gouv.fr/affichCodeArticle.do;jsessionid=53BC311FB3F5F60DFAC7971CE8FD778F.tpdila09v_1?idArticle=LEGIARTI000032856479&amp;cidTexte=LEGITEXT000006069414&amp;dateTexte=2017030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xceptionhandicap.bnf.fr/platon-web/" TargetMode="External"/><Relationship Id="rId23" Type="http://schemas.openxmlformats.org/officeDocument/2006/relationships/hyperlink" Target="https://www.legifrance.gouv.fr/affichCodeArticle.do;jsessionid=53BC311FB3F5F60DFAC7971CE8FD778F.tpdila09v_1?idArticle=LEGIARTI000033219336&amp;cidTexte=LEGITEXT000006069414&amp;dateTexte=20170306" TargetMode="External"/><Relationship Id="rId28" Type="http://schemas.openxmlformats.org/officeDocument/2006/relationships/footer" Target="footer1.xml"/><Relationship Id="rId10" Type="http://schemas.openxmlformats.org/officeDocument/2006/relationships/hyperlink" Target="https://www.legifrance.gouv.fr/affichCodeArticle.do;jsessionid=53BC311FB3F5F60DFAC7971CE8FD778F.tpdila09v_1?idArticle=LEGIARTI000033219336&amp;cidTexte=LEGITEXT000006069414&amp;dateTexte=20170306" TargetMode="External"/><Relationship Id="rId19" Type="http://schemas.openxmlformats.org/officeDocument/2006/relationships/image" Target="media/image1.e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xceptionhandicap.bnf.fr/platon-web/" TargetMode="External"/><Relationship Id="rId14" Type="http://schemas.openxmlformats.org/officeDocument/2006/relationships/hyperlink" Target="https://www.culture.gouv.fr/fr/catalogue-des-demarches-et-subventions/autorisation/habilitation-au-titre-de-l-exception-handicap-au-droit-d-auteur" TargetMode="External"/><Relationship Id="rId22" Type="http://schemas.openxmlformats.org/officeDocument/2006/relationships/hyperlink" Target="https://www.culture.gouv.fr/fr/catalogue-des-demarches-et-subventions/autorisation/habilitation-au-titre-de-l-exception-handicap-au-droit-d-auteur"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culture.gouv.fr/fr/catalogue-des-demarches-et-subventions/autorisation/habilitation-au-titre-de-l-exception-handicap-au-droit-d-auteu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6004-40A4-499E-89FE-56C00D17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4671</Words>
  <Characters>25695</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U.</dc:creator>
  <cp:lastModifiedBy>Marlène KLOK</cp:lastModifiedBy>
  <cp:revision>8</cp:revision>
  <cp:lastPrinted>2018-04-05T14:25:00Z</cp:lastPrinted>
  <dcterms:created xsi:type="dcterms:W3CDTF">2024-10-23T13:02:00Z</dcterms:created>
  <dcterms:modified xsi:type="dcterms:W3CDTF">2024-12-13T13:37:00Z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a55150b5-9709-4135-863a-f4680a6d2cae_Enabled">
    <vt:lpwstr>true</vt:lpwstr>
  </property>
  <property fmtid="{D5CDD505-2E9C-101B-9397-08002B2CF9AE}" pid="10" name="MSIP_Label_a55150b5-9709-4135-863a-f4680a6d2cae_SetDate">
    <vt:lpwstr>2024-10-23T13:07:28Z</vt:lpwstr>
  </property>
  <property fmtid="{D5CDD505-2E9C-101B-9397-08002B2CF9AE}" pid="11" name="MSIP_Label_a55150b5-9709-4135-863a-f4680a6d2cae_Method">
    <vt:lpwstr>Privileged</vt:lpwstr>
  </property>
  <property fmtid="{D5CDD505-2E9C-101B-9397-08002B2CF9AE}" pid="12" name="MSIP_Label_a55150b5-9709-4135-863a-f4680a6d2cae_Name">
    <vt:lpwstr>Public</vt:lpwstr>
  </property>
  <property fmtid="{D5CDD505-2E9C-101B-9397-08002B2CF9AE}" pid="13" name="MSIP_Label_a55150b5-9709-4135-863a-f4680a6d2cae_SiteId">
    <vt:lpwstr>5d0b42b2-7ba0-42b9-bd88-2dd1558bd190</vt:lpwstr>
  </property>
  <property fmtid="{D5CDD505-2E9C-101B-9397-08002B2CF9AE}" pid="14" name="MSIP_Label_a55150b5-9709-4135-863a-f4680a6d2cae_ActionId">
    <vt:lpwstr>fada7d67-1c8f-41a2-a11f-24c3793e379b</vt:lpwstr>
  </property>
  <property fmtid="{D5CDD505-2E9C-101B-9397-08002B2CF9AE}" pid="15" name="MSIP_Label_a55150b5-9709-4135-863a-f4680a6d2cae_ContentBits">
    <vt:lpwstr>0</vt:lpwstr>
  </property>
</Properties>
</file>