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9E3" w:rsidRDefault="007D0EF4">
      <w:r>
        <w:rPr>
          <w:rFonts w:ascii="Times New Roman" w:hAnsi="Times New Roman" w:cs="Times New Roman"/>
          <w:b/>
          <w:sz w:val="24"/>
          <w:szCs w:val="24"/>
          <w:u w:val="single"/>
        </w:rPr>
        <w:t xml:space="preserve">Annexe 3 : Prix </w:t>
      </w:r>
      <w:r>
        <w:rPr>
          <w:rFonts w:ascii="Times New Roman" w:hAnsi="Times New Roman" w:cs="Times New Roman"/>
          <w:b/>
          <w:i/>
          <w:sz w:val="24"/>
          <w:szCs w:val="24"/>
          <w:u w:val="single"/>
        </w:rPr>
        <w:t>Osez le musée</w:t>
      </w:r>
    </w:p>
    <w:p w:rsidR="007839E3" w:rsidRDefault="007839E3">
      <w:pPr>
        <w:rPr>
          <w:rFonts w:ascii="Times New Roman" w:hAnsi="Times New Roman" w:cs="Times New Roman"/>
          <w:b/>
          <w:i/>
          <w:sz w:val="24"/>
          <w:szCs w:val="24"/>
          <w:u w:val="single"/>
        </w:rPr>
      </w:pPr>
    </w:p>
    <w:p w:rsidR="007839E3" w:rsidRDefault="007D0EF4">
      <w:pPr>
        <w:jc w:val="both"/>
      </w:pPr>
      <w:r>
        <w:rPr>
          <w:rFonts w:ascii="Times New Roman" w:hAnsi="Times New Roman" w:cs="Times New Roman"/>
          <w:sz w:val="24"/>
          <w:szCs w:val="24"/>
        </w:rPr>
        <w:t>La 2</w:t>
      </w:r>
      <w:r>
        <w:rPr>
          <w:rFonts w:ascii="Times New Roman" w:hAnsi="Times New Roman" w:cs="Times New Roman"/>
          <w:sz w:val="24"/>
          <w:szCs w:val="24"/>
          <w:vertAlign w:val="superscript"/>
        </w:rPr>
        <w:t>e</w:t>
      </w:r>
      <w:r>
        <w:rPr>
          <w:rFonts w:ascii="Times New Roman" w:hAnsi="Times New Roman" w:cs="Times New Roman"/>
          <w:sz w:val="24"/>
          <w:szCs w:val="24"/>
        </w:rPr>
        <w:t xml:space="preserve"> édition du prix </w:t>
      </w:r>
      <w:r>
        <w:rPr>
          <w:rFonts w:ascii="Times New Roman" w:hAnsi="Times New Roman" w:cs="Times New Roman"/>
          <w:i/>
          <w:iCs/>
          <w:sz w:val="24"/>
          <w:szCs w:val="24"/>
        </w:rPr>
        <w:t>Osez le musée</w:t>
      </w:r>
      <w:r>
        <w:rPr>
          <w:rFonts w:ascii="Times New Roman" w:hAnsi="Times New Roman" w:cs="Times New Roman"/>
          <w:sz w:val="24"/>
          <w:szCs w:val="24"/>
        </w:rPr>
        <w:t xml:space="preserve"> est lancée dans la perspective d’un musée citoyen, inclusif et collaboratif.</w:t>
      </w:r>
    </w:p>
    <w:p w:rsidR="007839E3" w:rsidRDefault="007D0EF4">
      <w:pPr>
        <w:jc w:val="both"/>
        <w:rPr>
          <w:rFonts w:ascii="Times New Roman" w:hAnsi="Times New Roman" w:cs="Times New Roman"/>
          <w:sz w:val="24"/>
          <w:szCs w:val="24"/>
        </w:rPr>
      </w:pPr>
      <w:r>
        <w:rPr>
          <w:rFonts w:ascii="Times New Roman" w:hAnsi="Times New Roman" w:cs="Times New Roman"/>
          <w:sz w:val="24"/>
          <w:szCs w:val="24"/>
        </w:rPr>
        <w:t xml:space="preserve">Ce prix, qui incarne l’une des </w:t>
      </w:r>
      <w:r>
        <w:rPr>
          <w:rFonts w:ascii="Times New Roman" w:hAnsi="Times New Roman" w:cs="Times New Roman"/>
          <w:b/>
          <w:sz w:val="24"/>
          <w:szCs w:val="24"/>
        </w:rPr>
        <w:t>mesures importantes de la mission Musées du XXI</w:t>
      </w:r>
      <w:r>
        <w:rPr>
          <w:rFonts w:ascii="Times New Roman" w:hAnsi="Times New Roman" w:cs="Times New Roman"/>
          <w:b/>
          <w:sz w:val="24"/>
          <w:szCs w:val="24"/>
          <w:vertAlign w:val="superscript"/>
        </w:rPr>
        <w:t>e</w:t>
      </w:r>
      <w:r>
        <w:rPr>
          <w:rFonts w:ascii="Times New Roman" w:hAnsi="Times New Roman" w:cs="Times New Roman"/>
          <w:b/>
          <w:sz w:val="24"/>
          <w:szCs w:val="24"/>
        </w:rPr>
        <w:t xml:space="preserve"> siècle, distingue les musées engagés dans une politique volontariste et novatrice en direction des personnes en situation d’exclusion ou de vulnérabilité sociale et économique.</w:t>
      </w:r>
      <w:r>
        <w:rPr>
          <w:rFonts w:ascii="Times New Roman" w:hAnsi="Times New Roman" w:cs="Times New Roman"/>
          <w:sz w:val="24"/>
          <w:szCs w:val="24"/>
        </w:rPr>
        <w:t xml:space="preserve"> Il contribue à accompagner et valoriser l’évolution du rôle social des musées </w:t>
      </w:r>
      <w:r>
        <w:rPr>
          <w:rFonts w:ascii="Times New Roman" w:hAnsi="Times New Roman" w:cs="Times New Roman"/>
          <w:sz w:val="24"/>
          <w:szCs w:val="24"/>
        </w:rPr>
        <w:t xml:space="preserve">répondant ainsi aux attentes de nos concitoyens et de tous les publics. Il met en valeur le travail exemplaire que les équipes des musées réalisent pour </w:t>
      </w:r>
      <w:proofErr w:type="spellStart"/>
      <w:r>
        <w:rPr>
          <w:rFonts w:ascii="Times New Roman" w:hAnsi="Times New Roman" w:cs="Times New Roman"/>
          <w:sz w:val="24"/>
          <w:szCs w:val="24"/>
        </w:rPr>
        <w:t>co</w:t>
      </w:r>
      <w:proofErr w:type="spellEnd"/>
      <w:r>
        <w:rPr>
          <w:rFonts w:ascii="Times New Roman" w:hAnsi="Times New Roman" w:cs="Times New Roman"/>
          <w:sz w:val="24"/>
          <w:szCs w:val="24"/>
        </w:rPr>
        <w:t xml:space="preserve">-construire avec </w:t>
      </w:r>
      <w:bookmarkStart w:id="0" w:name="_GoBack"/>
      <w:bookmarkEnd w:id="0"/>
      <w:r>
        <w:rPr>
          <w:rFonts w:ascii="Times New Roman" w:hAnsi="Times New Roman" w:cs="Times New Roman"/>
          <w:sz w:val="24"/>
          <w:szCs w:val="24"/>
        </w:rPr>
        <w:t>les relais du champ social et les acteurs sociaux des territoires des dispositifs d’</w:t>
      </w:r>
      <w:r>
        <w:rPr>
          <w:rFonts w:ascii="Times New Roman" w:hAnsi="Times New Roman" w:cs="Times New Roman"/>
          <w:sz w:val="24"/>
          <w:szCs w:val="24"/>
        </w:rPr>
        <w:t xml:space="preserve">accès et de médiation. </w:t>
      </w:r>
    </w:p>
    <w:p w:rsidR="007839E3" w:rsidRDefault="007D0EF4">
      <w:pPr>
        <w:jc w:val="both"/>
      </w:pPr>
      <w:r>
        <w:rPr>
          <w:rFonts w:ascii="Times New Roman" w:hAnsi="Times New Roman" w:cs="Times New Roman"/>
          <w:bCs/>
          <w:i/>
          <w:iCs/>
          <w:sz w:val="24"/>
          <w:szCs w:val="24"/>
        </w:rPr>
        <w:t>Osez le musée</w:t>
      </w:r>
      <w:r>
        <w:rPr>
          <w:rFonts w:ascii="Times New Roman" w:hAnsi="Times New Roman" w:cs="Times New Roman"/>
          <w:bCs/>
          <w:iCs/>
          <w:sz w:val="24"/>
          <w:szCs w:val="24"/>
        </w:rPr>
        <w:t xml:space="preserve"> s’inscrit dans l'action résolue du gouvernement et de la ministre de la Culture pour vaincre la ségrégation culturelle sur l'ensemble du territoire et tout particulièrement dans les territoires culturels prioritaires.</w:t>
      </w:r>
    </w:p>
    <w:p w:rsidR="007839E3" w:rsidRDefault="007D0EF4">
      <w:pPr>
        <w:jc w:val="both"/>
      </w:pPr>
      <w:r>
        <w:rPr>
          <w:rFonts w:ascii="Times New Roman" w:hAnsi="Times New Roman" w:cs="Times New Roman"/>
          <w:bCs/>
          <w:iCs/>
          <w:sz w:val="24"/>
          <w:szCs w:val="24"/>
        </w:rPr>
        <w:t xml:space="preserve">Il opère par ailleurs un lien très fort avec le prix </w:t>
      </w:r>
      <w:r>
        <w:rPr>
          <w:rFonts w:ascii="Times New Roman" w:hAnsi="Times New Roman" w:cs="Times New Roman"/>
          <w:bCs/>
          <w:i/>
          <w:iCs/>
          <w:sz w:val="24"/>
          <w:szCs w:val="24"/>
        </w:rPr>
        <w:t>Patrimoines pour tous</w:t>
      </w:r>
      <w:r>
        <w:rPr>
          <w:rFonts w:ascii="Times New Roman" w:hAnsi="Times New Roman" w:cs="Times New Roman"/>
          <w:bCs/>
          <w:iCs/>
          <w:sz w:val="24"/>
          <w:szCs w:val="24"/>
        </w:rPr>
        <w:t xml:space="preserve"> quant aux enjeux de l’accessibilité généralisée.</w:t>
      </w:r>
    </w:p>
    <w:p w:rsidR="007839E3" w:rsidRDefault="007D0EF4">
      <w:pPr>
        <w:jc w:val="both"/>
        <w:rPr>
          <w:rFonts w:ascii="Times New Roman" w:hAnsi="Times New Roman" w:cs="Times New Roman"/>
          <w:sz w:val="24"/>
          <w:szCs w:val="24"/>
        </w:rPr>
      </w:pPr>
      <w:r>
        <w:rPr>
          <w:rFonts w:ascii="Times New Roman" w:hAnsi="Times New Roman" w:cs="Times New Roman"/>
          <w:sz w:val="24"/>
          <w:szCs w:val="24"/>
        </w:rPr>
        <w:t xml:space="preserve">Pour sa première édition, le prix </w:t>
      </w:r>
      <w:r>
        <w:rPr>
          <w:rFonts w:ascii="Times New Roman" w:hAnsi="Times New Roman" w:cs="Times New Roman"/>
          <w:i/>
          <w:iCs/>
          <w:sz w:val="24"/>
          <w:szCs w:val="24"/>
        </w:rPr>
        <w:t xml:space="preserve">Osez le musée </w:t>
      </w:r>
      <w:r>
        <w:rPr>
          <w:rFonts w:ascii="Times New Roman" w:hAnsi="Times New Roman" w:cs="Times New Roman"/>
          <w:sz w:val="24"/>
          <w:szCs w:val="24"/>
        </w:rPr>
        <w:t>a suscité un réel intérêt.</w:t>
      </w:r>
      <w:r>
        <w:rPr>
          <w:rFonts w:ascii="Times New Roman" w:hAnsi="Times New Roman" w:cs="Times New Roman"/>
          <w:b/>
          <w:sz w:val="24"/>
          <w:szCs w:val="24"/>
        </w:rPr>
        <w:t xml:space="preserve"> </w:t>
      </w:r>
      <w:r>
        <w:rPr>
          <w:rFonts w:ascii="Times New Roman" w:hAnsi="Times New Roman" w:cs="Times New Roman"/>
          <w:sz w:val="24"/>
          <w:szCs w:val="24"/>
        </w:rPr>
        <w:t>Le Louvre-Lens et le Palais des Beaux-Arts de Lille ont o</w:t>
      </w:r>
      <w:r>
        <w:rPr>
          <w:rFonts w:ascii="Times New Roman" w:hAnsi="Times New Roman" w:cs="Times New Roman"/>
          <w:sz w:val="24"/>
          <w:szCs w:val="24"/>
        </w:rPr>
        <w:t xml:space="preserve">btenu le premier prix ex aequo. Le deuxième prix a été décerné à l’écomusée de Margeride, à Saint-Flour dans le Cantal. Tandis que le musée du quai Branly - Jacques Chirac et Paris Musées pour la Ville de Paris se voyaient décerner une mention spéciale. </w:t>
      </w:r>
    </w:p>
    <w:p w:rsidR="007839E3" w:rsidRDefault="007D0EF4">
      <w:pPr>
        <w:jc w:val="both"/>
        <w:rPr>
          <w:rFonts w:ascii="Times New Roman" w:hAnsi="Times New Roman" w:cs="Times New Roman"/>
          <w:sz w:val="24"/>
          <w:szCs w:val="24"/>
          <w:lang w:bidi="fr-FR"/>
        </w:rPr>
      </w:pPr>
      <w:r>
        <w:rPr>
          <w:rFonts w:ascii="Times New Roman" w:hAnsi="Times New Roman" w:cs="Times New Roman"/>
          <w:sz w:val="24"/>
          <w:szCs w:val="24"/>
        </w:rPr>
        <w:t>C</w:t>
      </w:r>
      <w:r>
        <w:rPr>
          <w:rFonts w:ascii="Times New Roman" w:hAnsi="Times New Roman" w:cs="Times New Roman"/>
          <w:sz w:val="24"/>
          <w:szCs w:val="24"/>
        </w:rPr>
        <w:t>e palmarès, très ouvert,</w:t>
      </w:r>
      <w:r>
        <w:rPr>
          <w:rFonts w:ascii="Times New Roman" w:hAnsi="Times New Roman" w:cs="Times New Roman"/>
          <w:b/>
          <w:sz w:val="24"/>
          <w:szCs w:val="24"/>
        </w:rPr>
        <w:t xml:space="preserve"> </w:t>
      </w:r>
      <w:r>
        <w:rPr>
          <w:rFonts w:ascii="Times New Roman" w:hAnsi="Times New Roman" w:cs="Times New Roman"/>
          <w:sz w:val="24"/>
          <w:szCs w:val="24"/>
          <w:lang w:bidi="fr-FR"/>
        </w:rPr>
        <w:t>représente la grande diversité des musées de France et la richesse de leurs actions. Il souligne également que la reconnaissance des droits culturels de toutes et de tous devient un objectif central de la politique et de la program</w:t>
      </w:r>
      <w:r>
        <w:rPr>
          <w:rFonts w:ascii="Times New Roman" w:hAnsi="Times New Roman" w:cs="Times New Roman"/>
          <w:sz w:val="24"/>
          <w:szCs w:val="24"/>
          <w:lang w:bidi="fr-FR"/>
        </w:rPr>
        <w:t>mation des musées sur l’ensemble du territoire.</w:t>
      </w:r>
    </w:p>
    <w:p w:rsidR="007839E3" w:rsidRDefault="007D0EF4">
      <w:pPr>
        <w:jc w:val="both"/>
        <w:rPr>
          <w:rFonts w:ascii="Times New Roman" w:hAnsi="Times New Roman" w:cs="Times New Roman"/>
          <w:b/>
          <w:sz w:val="24"/>
          <w:szCs w:val="24"/>
          <w:lang w:bidi="fr-FR"/>
        </w:rPr>
      </w:pPr>
      <w:r>
        <w:rPr>
          <w:rFonts w:ascii="Times New Roman" w:hAnsi="Times New Roman" w:cs="Times New Roman"/>
          <w:sz w:val="24"/>
          <w:szCs w:val="24"/>
          <w:lang w:bidi="fr-FR"/>
        </w:rPr>
        <w:t xml:space="preserve">Le palmarès 2017 engage ainsi à </w:t>
      </w:r>
      <w:r>
        <w:rPr>
          <w:rFonts w:ascii="Times New Roman" w:hAnsi="Times New Roman" w:cs="Times New Roman"/>
          <w:b/>
          <w:sz w:val="24"/>
          <w:szCs w:val="24"/>
          <w:lang w:bidi="fr-FR"/>
        </w:rPr>
        <w:t xml:space="preserve">présenter de nouveau en 2018 des candidatures témoignant de la mobilisation remarquable des équipes sur le terrain pour construire des politiques de médiation inclusives et proposer des offres innovantes pour les publics les plus éloignés </w:t>
      </w:r>
      <w:proofErr w:type="gramStart"/>
      <w:r>
        <w:rPr>
          <w:rFonts w:ascii="Times New Roman" w:hAnsi="Times New Roman" w:cs="Times New Roman"/>
          <w:b/>
          <w:sz w:val="24"/>
          <w:szCs w:val="24"/>
          <w:lang w:bidi="fr-FR"/>
        </w:rPr>
        <w:t>d’un</w:t>
      </w:r>
      <w:proofErr w:type="gramEnd"/>
      <w:r>
        <w:rPr>
          <w:rFonts w:ascii="Times New Roman" w:hAnsi="Times New Roman" w:cs="Times New Roman"/>
          <w:b/>
          <w:sz w:val="24"/>
          <w:szCs w:val="24"/>
          <w:lang w:bidi="fr-FR"/>
        </w:rPr>
        <w:t xml:space="preserve"> point de vue</w:t>
      </w:r>
      <w:r>
        <w:rPr>
          <w:rFonts w:ascii="Times New Roman" w:hAnsi="Times New Roman" w:cs="Times New Roman"/>
          <w:b/>
          <w:sz w:val="24"/>
          <w:szCs w:val="24"/>
          <w:lang w:bidi="fr-FR"/>
        </w:rPr>
        <w:t xml:space="preserve"> social et symbolique. </w:t>
      </w:r>
    </w:p>
    <w:p w:rsidR="007839E3" w:rsidRDefault="007D0EF4">
      <w:pPr>
        <w:jc w:val="both"/>
      </w:pPr>
      <w:r>
        <w:rPr>
          <w:rFonts w:ascii="Times New Roman" w:hAnsi="Times New Roman" w:cs="Times New Roman"/>
          <w:sz w:val="24"/>
          <w:szCs w:val="24"/>
        </w:rPr>
        <w:t>Le jury, placé sous la présidence du directeur général des patrimoines, est composé des principales associations nationales de solidarité, du Commissariat général à l’égalité des territoires, ainsi que d'un représentant des collecti</w:t>
      </w:r>
      <w:r>
        <w:rPr>
          <w:rFonts w:ascii="Times New Roman" w:hAnsi="Times New Roman" w:cs="Times New Roman"/>
          <w:sz w:val="24"/>
          <w:szCs w:val="24"/>
        </w:rPr>
        <w:t xml:space="preserve">vités territoriales et de plusieurs représentants de l'administration centrale et déconcentrée. </w:t>
      </w:r>
    </w:p>
    <w:p w:rsidR="007839E3" w:rsidRDefault="007D0EF4">
      <w:pPr>
        <w:jc w:val="both"/>
      </w:pPr>
      <w:r>
        <w:rPr>
          <w:rFonts w:ascii="Times New Roman" w:hAnsi="Times New Roman" w:cs="Times New Roman"/>
          <w:sz w:val="24"/>
          <w:szCs w:val="24"/>
        </w:rPr>
        <w:t xml:space="preserve">A l'issue des délibérations, </w:t>
      </w:r>
      <w:r>
        <w:rPr>
          <w:rFonts w:ascii="Times New Roman" w:hAnsi="Times New Roman" w:cs="Times New Roman"/>
          <w:b/>
          <w:sz w:val="24"/>
          <w:szCs w:val="24"/>
        </w:rPr>
        <w:t>le prix, constitué d'une dotation de 50 000 € pour les musées territoriaux, et ayant valeur d’un label de qualité sans dotation fi</w:t>
      </w:r>
      <w:r>
        <w:rPr>
          <w:rFonts w:ascii="Times New Roman" w:hAnsi="Times New Roman" w:cs="Times New Roman"/>
          <w:b/>
          <w:sz w:val="24"/>
          <w:szCs w:val="24"/>
        </w:rPr>
        <w:t>nancière pour les musées nationaux sera attribué à un ou plusieurs lauréats.</w:t>
      </w:r>
    </w:p>
    <w:p w:rsidR="007839E3" w:rsidRDefault="007839E3">
      <w:pPr>
        <w:jc w:val="both"/>
        <w:rPr>
          <w:rFonts w:ascii="Times New Roman" w:hAnsi="Times New Roman" w:cs="Times New Roman"/>
          <w:sz w:val="24"/>
          <w:szCs w:val="24"/>
        </w:rPr>
      </w:pPr>
    </w:p>
    <w:p w:rsidR="007839E3" w:rsidRDefault="007839E3">
      <w:pPr>
        <w:jc w:val="both"/>
        <w:rPr>
          <w:rFonts w:ascii="Times New Roman" w:hAnsi="Times New Roman" w:cs="Times New Roman"/>
          <w:sz w:val="24"/>
          <w:szCs w:val="24"/>
        </w:rPr>
      </w:pPr>
    </w:p>
    <w:p w:rsidR="007839E3" w:rsidRDefault="007839E3">
      <w:pPr>
        <w:jc w:val="both"/>
        <w:rPr>
          <w:rFonts w:ascii="Times New Roman" w:hAnsi="Times New Roman" w:cs="Times New Roman"/>
          <w:sz w:val="24"/>
          <w:szCs w:val="24"/>
        </w:rPr>
      </w:pPr>
    </w:p>
    <w:tbl>
      <w:tblPr>
        <w:tblW w:w="9090" w:type="dxa"/>
        <w:tblInd w:w="24"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Look w:val="04A0" w:firstRow="1" w:lastRow="0" w:firstColumn="1" w:lastColumn="0" w:noHBand="0" w:noVBand="1"/>
      </w:tblPr>
      <w:tblGrid>
        <w:gridCol w:w="5480"/>
        <w:gridCol w:w="3610"/>
      </w:tblGrid>
      <w:tr w:rsidR="007839E3">
        <w:tc>
          <w:tcPr>
            <w:tcW w:w="5479" w:type="dxa"/>
            <w:tcBorders>
              <w:top w:val="single" w:sz="2" w:space="0" w:color="000001"/>
              <w:left w:val="single" w:sz="2" w:space="0" w:color="000001"/>
              <w:bottom w:val="single" w:sz="2" w:space="0" w:color="000001"/>
            </w:tcBorders>
            <w:shd w:val="clear" w:color="auto" w:fill="auto"/>
            <w:tcMar>
              <w:left w:w="42" w:type="dxa"/>
            </w:tcMar>
          </w:tcPr>
          <w:p w:rsidR="007839E3" w:rsidRDefault="007D0EF4">
            <w:r>
              <w:rPr>
                <w:rFonts w:ascii="Times New Roman" w:hAnsi="Times New Roman" w:cs="Times New Roman"/>
                <w:b/>
                <w:bCs/>
                <w:sz w:val="24"/>
                <w:szCs w:val="24"/>
              </w:rPr>
              <w:lastRenderedPageBreak/>
              <w:t>Date limite de réception des dossiers en DRAC</w:t>
            </w:r>
          </w:p>
        </w:tc>
        <w:tc>
          <w:tcPr>
            <w:tcW w:w="3610"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839E3" w:rsidRDefault="007D0EF4">
            <w:pPr>
              <w:rPr>
                <w:rFonts w:ascii="Times New Roman" w:hAnsi="Times New Roman" w:cs="Times New Roman"/>
                <w:sz w:val="24"/>
                <w:szCs w:val="24"/>
              </w:rPr>
            </w:pPr>
            <w:r>
              <w:rPr>
                <w:rFonts w:ascii="Times New Roman" w:hAnsi="Times New Roman" w:cs="Times New Roman"/>
                <w:sz w:val="24"/>
                <w:szCs w:val="24"/>
              </w:rPr>
              <w:t>16 juillet 2018</w:t>
            </w:r>
          </w:p>
        </w:tc>
      </w:tr>
      <w:tr w:rsidR="007839E3">
        <w:tc>
          <w:tcPr>
            <w:tcW w:w="5479" w:type="dxa"/>
            <w:tcBorders>
              <w:top w:val="single" w:sz="2" w:space="0" w:color="000001"/>
              <w:left w:val="single" w:sz="2" w:space="0" w:color="000001"/>
              <w:bottom w:val="single" w:sz="2" w:space="0" w:color="000001"/>
            </w:tcBorders>
            <w:shd w:val="clear" w:color="auto" w:fill="auto"/>
            <w:tcMar>
              <w:left w:w="42" w:type="dxa"/>
            </w:tcMar>
          </w:tcPr>
          <w:p w:rsidR="007839E3" w:rsidRDefault="007D0EF4">
            <w:pPr>
              <w:pStyle w:val="Contenudetableau"/>
            </w:pPr>
            <w:r>
              <w:rPr>
                <w:rFonts w:ascii="Times New Roman" w:hAnsi="Times New Roman"/>
              </w:rPr>
              <w:t xml:space="preserve">Transmission des dossiers retenus par les DRAC à la DGP / </w:t>
            </w:r>
            <w:r>
              <w:rPr>
                <w:rFonts w:ascii="Times New Roman" w:hAnsi="Times New Roman" w:cs="Times New Roman"/>
                <w:sz w:val="24"/>
                <w:szCs w:val="24"/>
              </w:rPr>
              <w:t xml:space="preserve">DPP à l’adresse électronique suivante : </w:t>
            </w:r>
            <w:hyperlink r:id="rId7">
              <w:r>
                <w:rPr>
                  <w:rStyle w:val="LienInternet"/>
                  <w:rFonts w:ascii="Times New Roman" w:hAnsi="Times New Roman" w:cs="Times New Roman"/>
                  <w:sz w:val="24"/>
                  <w:szCs w:val="24"/>
                </w:rPr>
                <w:t>secretariat.dpp@culture.gouv.fr</w:t>
              </w:r>
            </w:hyperlink>
          </w:p>
          <w:p w:rsidR="007839E3" w:rsidRDefault="007D0EF4">
            <w:pPr>
              <w:pStyle w:val="Contenudetableau"/>
            </w:pPr>
            <w:r>
              <w:rPr>
                <w:rFonts w:ascii="Times New Roman" w:hAnsi="Times New Roman" w:cs="Times New Roman"/>
                <w:sz w:val="24"/>
                <w:szCs w:val="24"/>
              </w:rPr>
              <w:t xml:space="preserve">A l’adresse postale suivante : </w:t>
            </w:r>
          </w:p>
          <w:p w:rsidR="007839E3" w:rsidRDefault="007D0EF4">
            <w:pPr>
              <w:spacing w:after="0"/>
            </w:pPr>
            <w:r>
              <w:rPr>
                <w:rFonts w:ascii="Times New Roman" w:hAnsi="Times New Roman" w:cs="Times New Roman"/>
                <w:sz w:val="24"/>
                <w:szCs w:val="24"/>
              </w:rPr>
              <w:t>Département de la politique des publics</w:t>
            </w:r>
          </w:p>
          <w:p w:rsidR="007839E3" w:rsidRDefault="007D0EF4">
            <w:pPr>
              <w:spacing w:after="0"/>
            </w:pPr>
            <w:r>
              <w:rPr>
                <w:rFonts w:ascii="Times New Roman" w:hAnsi="Times New Roman" w:cs="Times New Roman"/>
                <w:sz w:val="24"/>
                <w:szCs w:val="24"/>
              </w:rPr>
              <w:t>Direction Générale des Patrimoines</w:t>
            </w:r>
          </w:p>
          <w:p w:rsidR="007839E3" w:rsidRDefault="007D0EF4">
            <w:pPr>
              <w:spacing w:after="0"/>
            </w:pPr>
            <w:r>
              <w:rPr>
                <w:rFonts w:ascii="Times New Roman" w:hAnsi="Times New Roman" w:cs="Times New Roman"/>
                <w:sz w:val="24"/>
                <w:szCs w:val="24"/>
              </w:rPr>
              <w:t xml:space="preserve">Ministère de la Culture </w:t>
            </w:r>
          </w:p>
          <w:p w:rsidR="007839E3" w:rsidRDefault="007D0EF4">
            <w:pPr>
              <w:spacing w:after="0"/>
            </w:pPr>
            <w:r>
              <w:rPr>
                <w:rFonts w:ascii="Times New Roman" w:hAnsi="Times New Roman" w:cs="Times New Roman"/>
                <w:sz w:val="24"/>
                <w:szCs w:val="24"/>
              </w:rPr>
              <w:t>6, rue des Pyramides</w:t>
            </w:r>
          </w:p>
          <w:p w:rsidR="007839E3" w:rsidRDefault="007D0EF4">
            <w:pPr>
              <w:pStyle w:val="Contenudetableau"/>
            </w:pPr>
            <w:r>
              <w:rPr>
                <w:rFonts w:ascii="Times New Roman" w:hAnsi="Times New Roman" w:cs="Times New Roman"/>
                <w:sz w:val="24"/>
                <w:szCs w:val="24"/>
              </w:rPr>
              <w:t>75041 Paris Ced</w:t>
            </w:r>
            <w:r>
              <w:rPr>
                <w:rFonts w:ascii="Times New Roman" w:hAnsi="Times New Roman" w:cs="Times New Roman"/>
                <w:sz w:val="24"/>
                <w:szCs w:val="24"/>
              </w:rPr>
              <w:t>ex 01</w:t>
            </w:r>
          </w:p>
        </w:tc>
        <w:tc>
          <w:tcPr>
            <w:tcW w:w="3610"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839E3" w:rsidRDefault="007D0EF4">
            <w:r>
              <w:rPr>
                <w:rFonts w:ascii="Times New Roman" w:hAnsi="Times New Roman" w:cs="Times New Roman"/>
                <w:sz w:val="24"/>
                <w:szCs w:val="24"/>
              </w:rPr>
              <w:t>6 septembre 2018</w:t>
            </w:r>
          </w:p>
        </w:tc>
      </w:tr>
      <w:tr w:rsidR="007839E3">
        <w:tc>
          <w:tcPr>
            <w:tcW w:w="5479" w:type="dxa"/>
            <w:tcBorders>
              <w:top w:val="single" w:sz="2" w:space="0" w:color="000001"/>
              <w:left w:val="single" w:sz="2" w:space="0" w:color="000001"/>
              <w:bottom w:val="single" w:sz="2" w:space="0" w:color="000001"/>
            </w:tcBorders>
            <w:shd w:val="clear" w:color="auto" w:fill="auto"/>
            <w:tcMar>
              <w:left w:w="42" w:type="dxa"/>
            </w:tcMar>
          </w:tcPr>
          <w:p w:rsidR="007839E3" w:rsidRDefault="007D0EF4">
            <w:pPr>
              <w:pStyle w:val="Contenudetableau"/>
            </w:pPr>
            <w:r>
              <w:t xml:space="preserve">Réunion du jury </w:t>
            </w:r>
          </w:p>
        </w:tc>
        <w:tc>
          <w:tcPr>
            <w:tcW w:w="3610"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839E3" w:rsidRDefault="007D0EF4">
            <w:pPr>
              <w:pStyle w:val="Contenudetableau"/>
            </w:pPr>
            <w:r>
              <w:rPr>
                <w:rFonts w:ascii="Times New Roman" w:hAnsi="Times New Roman"/>
              </w:rPr>
              <w:t>Début octobre 2018</w:t>
            </w:r>
          </w:p>
        </w:tc>
      </w:tr>
      <w:tr w:rsidR="007839E3">
        <w:tc>
          <w:tcPr>
            <w:tcW w:w="5479" w:type="dxa"/>
            <w:tcBorders>
              <w:top w:val="single" w:sz="2" w:space="0" w:color="000001"/>
              <w:left w:val="single" w:sz="2" w:space="0" w:color="000001"/>
              <w:bottom w:val="single" w:sz="2" w:space="0" w:color="000001"/>
            </w:tcBorders>
            <w:shd w:val="clear" w:color="auto" w:fill="auto"/>
            <w:tcMar>
              <w:left w:w="42" w:type="dxa"/>
            </w:tcMar>
          </w:tcPr>
          <w:p w:rsidR="007839E3" w:rsidRDefault="007D0EF4">
            <w:pPr>
              <w:pStyle w:val="Contenudetableau"/>
            </w:pPr>
            <w:r>
              <w:rPr>
                <w:rFonts w:ascii="Times New Roman" w:hAnsi="Times New Roman"/>
              </w:rPr>
              <w:t>Annonce des lauréats</w:t>
            </w:r>
          </w:p>
        </w:tc>
        <w:tc>
          <w:tcPr>
            <w:tcW w:w="3610"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839E3" w:rsidRDefault="007D0EF4">
            <w:pPr>
              <w:pStyle w:val="Contenudetableau"/>
            </w:pPr>
            <w:r>
              <w:rPr>
                <w:rFonts w:ascii="Times New Roman" w:hAnsi="Times New Roman"/>
              </w:rPr>
              <w:t>Mi-octobre 2018</w:t>
            </w:r>
          </w:p>
        </w:tc>
      </w:tr>
      <w:tr w:rsidR="007839E3">
        <w:tc>
          <w:tcPr>
            <w:tcW w:w="5479" w:type="dxa"/>
            <w:tcBorders>
              <w:top w:val="single" w:sz="2" w:space="0" w:color="000001"/>
              <w:left w:val="single" w:sz="2" w:space="0" w:color="000001"/>
              <w:bottom w:val="single" w:sz="2" w:space="0" w:color="000001"/>
            </w:tcBorders>
            <w:shd w:val="clear" w:color="auto" w:fill="auto"/>
            <w:tcMar>
              <w:left w:w="42" w:type="dxa"/>
            </w:tcMar>
          </w:tcPr>
          <w:p w:rsidR="007839E3" w:rsidRDefault="007D0EF4">
            <w:pPr>
              <w:pStyle w:val="Contenudetableau"/>
            </w:pPr>
            <w:r>
              <w:rPr>
                <w:rFonts w:ascii="Times New Roman" w:hAnsi="Times New Roman"/>
              </w:rPr>
              <w:t>Personne à contacter au DPP</w:t>
            </w:r>
          </w:p>
        </w:tc>
        <w:tc>
          <w:tcPr>
            <w:tcW w:w="3610"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7839E3" w:rsidRDefault="007D0EF4">
            <w:pPr>
              <w:pStyle w:val="Paragraphedeliste"/>
              <w:ind w:left="0"/>
            </w:pPr>
            <w:r>
              <w:rPr>
                <w:rFonts w:ascii="Times New Roman" w:hAnsi="Times New Roman"/>
                <w:i/>
                <w:sz w:val="20"/>
                <w:szCs w:val="20"/>
              </w:rPr>
              <w:t xml:space="preserve">Franck GUILLAUMET, Chargé du développement des publics "Musées du XXIe siècle" / 01 40 15 35 81 / </w:t>
            </w:r>
            <w:hyperlink r:id="rId8">
              <w:r>
                <w:rPr>
                  <w:rStyle w:val="LienInternet"/>
                  <w:rFonts w:ascii="Times New Roman" w:hAnsi="Times New Roman"/>
                  <w:i/>
                  <w:sz w:val="20"/>
                  <w:szCs w:val="20"/>
                </w:rPr>
                <w:t>franck.guillaumet@culture.gouv.fr</w:t>
              </w:r>
            </w:hyperlink>
          </w:p>
        </w:tc>
      </w:tr>
    </w:tbl>
    <w:p w:rsidR="007839E3" w:rsidRDefault="007839E3">
      <w:pPr>
        <w:jc w:val="both"/>
      </w:pPr>
    </w:p>
    <w:p w:rsidR="007839E3" w:rsidRDefault="007D0EF4">
      <w:pPr>
        <w:jc w:val="both"/>
      </w:pPr>
      <w:r>
        <w:rPr>
          <w:i/>
          <w:sz w:val="20"/>
          <w:szCs w:val="20"/>
        </w:rPr>
        <w:t xml:space="preserve">N.B. : </w:t>
      </w:r>
    </w:p>
    <w:p w:rsidR="007839E3" w:rsidRDefault="007D0EF4">
      <w:pPr>
        <w:pStyle w:val="Paragraphedeliste"/>
        <w:numPr>
          <w:ilvl w:val="0"/>
          <w:numId w:val="1"/>
        </w:numPr>
        <w:jc w:val="both"/>
      </w:pPr>
      <w:r>
        <w:rPr>
          <w:i/>
          <w:sz w:val="20"/>
          <w:szCs w:val="20"/>
        </w:rPr>
        <w:t>Il convient de noter que dans le cadre du programme gouvernemental de simplification des relations entre l'administration et ses usagers, une procédure dématérialisée du dossier de candidature sera également proposée par le portail du ministère de la cultu</w:t>
      </w:r>
      <w:r>
        <w:rPr>
          <w:i/>
          <w:sz w:val="20"/>
          <w:szCs w:val="20"/>
        </w:rPr>
        <w:t xml:space="preserve">re, rubrique « mes démarches en ligne ». </w:t>
      </w:r>
    </w:p>
    <w:p w:rsidR="007839E3" w:rsidRDefault="007839E3">
      <w:pPr>
        <w:pStyle w:val="Paragraphedeliste"/>
        <w:spacing w:after="160"/>
        <w:jc w:val="both"/>
      </w:pPr>
    </w:p>
    <w:sectPr w:rsidR="007839E3">
      <w:footerReference w:type="default" r:id="rId9"/>
      <w:pgSz w:w="11906" w:h="16838"/>
      <w:pgMar w:top="1417" w:right="1417" w:bottom="1417" w:left="1417"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EF4" w:rsidRDefault="007D0EF4">
      <w:pPr>
        <w:spacing w:after="0" w:line="240" w:lineRule="auto"/>
      </w:pPr>
      <w:r>
        <w:separator/>
      </w:r>
    </w:p>
  </w:endnote>
  <w:endnote w:type="continuationSeparator" w:id="0">
    <w:p w:rsidR="007D0EF4" w:rsidRDefault="007D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229442"/>
      <w:docPartObj>
        <w:docPartGallery w:val="Page Numbers (Bottom of Page)"/>
        <w:docPartUnique/>
      </w:docPartObj>
    </w:sdtPr>
    <w:sdtEndPr/>
    <w:sdtContent>
      <w:p w:rsidR="007839E3" w:rsidRDefault="007D0EF4">
        <w:pPr>
          <w:pStyle w:val="Pieddepage"/>
          <w:jc w:val="center"/>
        </w:pPr>
        <w:r>
          <w:fldChar w:fldCharType="begin"/>
        </w:r>
        <w:r>
          <w:instrText>PAGE</w:instrText>
        </w:r>
        <w:r>
          <w:fldChar w:fldCharType="separate"/>
        </w:r>
        <w:r w:rsidR="00D200A4">
          <w:rPr>
            <w:noProof/>
          </w:rPr>
          <w:t>1</w:t>
        </w:r>
        <w:r>
          <w:fldChar w:fldCharType="end"/>
        </w:r>
      </w:p>
    </w:sdtContent>
  </w:sdt>
  <w:p w:rsidR="007839E3" w:rsidRDefault="007839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EF4" w:rsidRDefault="007D0EF4">
      <w:pPr>
        <w:spacing w:after="0" w:line="240" w:lineRule="auto"/>
      </w:pPr>
      <w:r>
        <w:separator/>
      </w:r>
    </w:p>
  </w:footnote>
  <w:footnote w:type="continuationSeparator" w:id="0">
    <w:p w:rsidR="007D0EF4" w:rsidRDefault="007D0E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64117"/>
    <w:multiLevelType w:val="multilevel"/>
    <w:tmpl w:val="AEC685A0"/>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77B520D5"/>
    <w:multiLevelType w:val="multilevel"/>
    <w:tmpl w:val="A2529B4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E3"/>
    <w:rsid w:val="007839E3"/>
    <w:rsid w:val="007D0EF4"/>
    <w:rsid w:val="00D200A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FF6AE8-C01D-48D3-89C7-76A1087B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olor w:val="00000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C402C4"/>
    <w:rPr>
      <w:color w:val="0563C1"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Wingdings"/>
      <w:sz w:val="20"/>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Wingdings"/>
      <w:sz w:val="20"/>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Wingdings"/>
      <w:sz w:val="2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En-tteCar">
    <w:name w:val="En-tête Car"/>
    <w:basedOn w:val="Policepardfaut"/>
    <w:uiPriority w:val="99"/>
    <w:qFormat/>
    <w:rsid w:val="00842BCD"/>
    <w:rPr>
      <w:color w:val="00000A"/>
      <w:sz w:val="22"/>
    </w:rPr>
  </w:style>
  <w:style w:type="character" w:customStyle="1" w:styleId="PieddepageCar">
    <w:name w:val="Pied de page Car"/>
    <w:basedOn w:val="Policepardfaut"/>
    <w:link w:val="Pieddepage"/>
    <w:uiPriority w:val="99"/>
    <w:qFormat/>
    <w:rsid w:val="00842BCD"/>
    <w:rPr>
      <w:color w:val="00000A"/>
      <w:sz w:val="22"/>
    </w:rPr>
  </w:style>
  <w:style w:type="character" w:customStyle="1" w:styleId="ListLabel31">
    <w:name w:val="ListLabel 31"/>
    <w:qFormat/>
    <w:rPr>
      <w:rFonts w:cs="Wingdings"/>
      <w:sz w:val="20"/>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Titreprincipal">
    <w:name w:val="Titre principal"/>
    <w:basedOn w:val="Normal"/>
    <w:qFormat/>
    <w:pPr>
      <w:keepNext/>
      <w:spacing w:before="240" w:after="120"/>
    </w:pPr>
    <w:rPr>
      <w:rFonts w:ascii="Liberation Sans" w:eastAsia="Microsoft YaHei" w:hAnsi="Liberation Sans" w:cs="Mangal"/>
      <w:sz w:val="28"/>
      <w:szCs w:val="28"/>
    </w:rPr>
  </w:style>
  <w:style w:type="paragraph" w:styleId="Paragraphedeliste">
    <w:name w:val="List Paragraph"/>
    <w:basedOn w:val="Normal"/>
    <w:uiPriority w:val="34"/>
    <w:qFormat/>
    <w:rsid w:val="00C402C4"/>
    <w:pPr>
      <w:spacing w:after="0"/>
      <w:ind w:left="720"/>
      <w:contextualSpacing/>
    </w:pPr>
  </w:style>
  <w:style w:type="paragraph" w:customStyle="1" w:styleId="Contenudetableau">
    <w:name w:val="Contenu de tableau"/>
    <w:basedOn w:val="Normal"/>
    <w:qFormat/>
  </w:style>
  <w:style w:type="paragraph" w:styleId="En-tte">
    <w:name w:val="header"/>
    <w:basedOn w:val="Normal"/>
    <w:uiPriority w:val="99"/>
    <w:unhideWhenUsed/>
    <w:rsid w:val="00842BCD"/>
    <w:pPr>
      <w:tabs>
        <w:tab w:val="center" w:pos="4536"/>
        <w:tab w:val="right" w:pos="9072"/>
      </w:tabs>
      <w:spacing w:after="0" w:line="240" w:lineRule="auto"/>
    </w:pPr>
  </w:style>
  <w:style w:type="paragraph" w:styleId="Pieddepage">
    <w:name w:val="footer"/>
    <w:basedOn w:val="Normal"/>
    <w:link w:val="PieddepageCar"/>
    <w:uiPriority w:val="99"/>
    <w:unhideWhenUsed/>
    <w:rsid w:val="00842BCD"/>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ranck.guillaumet@culture.gouv.fr" TargetMode="External"/><Relationship Id="rId3" Type="http://schemas.openxmlformats.org/officeDocument/2006/relationships/settings" Target="settings.xml"/><Relationship Id="rId7" Type="http://schemas.openxmlformats.org/officeDocument/2006/relationships/hyperlink" Target="mailto:secretariat.dpp@cultur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3160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maeva.abillard</dc:creator>
  <cp:lastModifiedBy>Line Melezan</cp:lastModifiedBy>
  <cp:revision>2</cp:revision>
  <cp:lastPrinted>2018-05-02T16:12:00Z</cp:lastPrinted>
  <dcterms:created xsi:type="dcterms:W3CDTF">2018-07-04T15:41:00Z</dcterms:created>
  <dcterms:modified xsi:type="dcterms:W3CDTF">2018-07-04T15:41:00Z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 Culture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