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22" w:rsidRDefault="007D3422">
      <w:pPr>
        <w:rPr>
          <w:rFonts w:ascii="Arial" w:hAnsi="Arial"/>
          <w:color w:val="000000"/>
          <w:sz w:val="20"/>
        </w:rPr>
      </w:pPr>
      <w:bookmarkStart w:id="0" w:name="_GoBack"/>
      <w:bookmarkEnd w:id="0"/>
    </w:p>
    <w:p w:rsidR="007D3422" w:rsidRDefault="009B410C">
      <w:pPr>
        <w:pBdr>
          <w:top w:val="single" w:sz="2" w:space="11" w:color="000000"/>
          <w:left w:val="single" w:sz="2" w:space="11" w:color="000000"/>
          <w:bottom w:val="single" w:sz="2" w:space="11" w:color="000000"/>
          <w:right w:val="single" w:sz="2" w:space="11" w:color="000000"/>
        </w:pBdr>
        <w:jc w:val="center"/>
        <w:rPr>
          <w:rFonts w:ascii="Arial" w:hAnsi="Arial"/>
          <w:b/>
          <w:bCs/>
          <w:color w:val="000000"/>
          <w:sz w:val="44"/>
          <w:szCs w:val="44"/>
        </w:rPr>
      </w:pPr>
      <w:r>
        <w:rPr>
          <w:rFonts w:ascii="Arial" w:hAnsi="Arial"/>
          <w:b/>
          <w:bCs/>
          <w:color w:val="000000"/>
          <w:sz w:val="44"/>
          <w:szCs w:val="44"/>
        </w:rPr>
        <w:t>ALLOCATION D’INSTALLATION D’ATELIER ET ACHAT DE MATÉRIEL</w:t>
      </w:r>
    </w:p>
    <w:p w:rsidR="007D3422" w:rsidRDefault="007D3422">
      <w:pPr>
        <w:pBdr>
          <w:top w:val="single" w:sz="2" w:space="11" w:color="000000"/>
          <w:left w:val="single" w:sz="2" w:space="11" w:color="000000"/>
          <w:bottom w:val="single" w:sz="2" w:space="11" w:color="000000"/>
          <w:right w:val="single" w:sz="2" w:space="11" w:color="000000"/>
        </w:pBdr>
        <w:jc w:val="center"/>
        <w:rPr>
          <w:rFonts w:ascii="Arial" w:hAnsi="Arial"/>
          <w:color w:val="000000"/>
          <w:sz w:val="20"/>
        </w:rPr>
      </w:pPr>
    </w:p>
    <w:p w:rsidR="007D3422" w:rsidRDefault="007D3422">
      <w:pPr>
        <w:jc w:val="center"/>
        <w:rPr>
          <w:rFonts w:ascii="Arial" w:hAnsi="Arial"/>
          <w:color w:val="000000"/>
          <w:sz w:val="20"/>
        </w:rPr>
      </w:pPr>
    </w:p>
    <w:p w:rsidR="007D3422" w:rsidRDefault="007D3422">
      <w:pPr>
        <w:jc w:val="both"/>
        <w:rPr>
          <w:rFonts w:ascii="Arial" w:hAnsi="Arial" w:cs="Arial"/>
          <w:color w:val="000000"/>
          <w:sz w:val="20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</w:rPr>
        <w:t>La Direction régionale des affaires culturelles attribue des allocations d’installation d’atelier et achat de matériel</w:t>
      </w:r>
      <w:r>
        <w:rPr>
          <w:rFonts w:ascii="Arial" w:hAnsi="Arial" w:cs="Arial"/>
          <w:color w:val="000000"/>
          <w:sz w:val="20"/>
        </w:rPr>
        <w:t xml:space="preserve"> aux artistes en activité, résidant dans la région, pour leur permettre de financer des travaux d’aménagement de leur atelier de travail ou l’acquisition de matériel nécessaire à la pratique de leur activité artistique dans tout domaine des arts visuels.</w:t>
      </w:r>
    </w:p>
    <w:p w:rsidR="007D3422" w:rsidRDefault="007D3422">
      <w:pPr>
        <w:jc w:val="both"/>
        <w:rPr>
          <w:rFonts w:ascii="Arial" w:hAnsi="Arial" w:cs="Arial"/>
          <w:color w:val="000000"/>
          <w:sz w:val="20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</w:rPr>
        <w:t>Le cadre de ces aides est fixé par le décret n° 2015-92 du 28 janvier 2015 relatif à l’attribution des aides déconcentrées destinées aux artistes, auteurs d’œuvres graphiques et plastiques et par l’arrêté du 3 avril 2015, relatif à la procédure d’attributi</w:t>
      </w:r>
      <w:r>
        <w:rPr>
          <w:rFonts w:ascii="Arial" w:hAnsi="Arial" w:cs="Arial"/>
          <w:color w:val="000000"/>
          <w:sz w:val="20"/>
        </w:rPr>
        <w:t xml:space="preserve">on de ces aides. </w:t>
      </w:r>
      <w:r>
        <w:rPr>
          <w:rFonts w:ascii="Arial" w:hAnsi="Arial" w:cs="Arial"/>
          <w:sz w:val="20"/>
          <w:highlight w:val="yellow"/>
        </w:rPr>
        <w:t>Lien textes : https://www.legifrance.gouv.fr/affichTexte.do?cidTexte=JORFTEXT000030171358&amp;categorieLien=id</w:t>
      </w:r>
    </w:p>
    <w:p w:rsidR="007D3422" w:rsidRDefault="007D3422">
      <w:pPr>
        <w:jc w:val="both"/>
        <w:rPr>
          <w:rFonts w:ascii="Arial" w:hAnsi="Arial"/>
          <w:color w:val="000000"/>
          <w:sz w:val="20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Le montant de l’aide ne peut excéder 50 % du coût total des travaux ou de l’équipement. Les artistes peuvent exécuter les travaux e</w:t>
      </w:r>
      <w:r>
        <w:rPr>
          <w:rFonts w:ascii="Arial" w:hAnsi="Arial"/>
          <w:color w:val="000000"/>
          <w:sz w:val="20"/>
        </w:rPr>
        <w:t>ux-mêmes. Dans ce cas, seul le coût des matériaux est pris en compte.</w:t>
      </w:r>
    </w:p>
    <w:p w:rsidR="007D3422" w:rsidRDefault="007D3422">
      <w:pPr>
        <w:jc w:val="both"/>
        <w:rPr>
          <w:rFonts w:ascii="Arial" w:hAnsi="Arial"/>
          <w:color w:val="000000"/>
          <w:sz w:val="20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Cette aide aux artistes professionnels n’est pas destinée à des étudiants.</w:t>
      </w:r>
    </w:p>
    <w:p w:rsidR="007D3422" w:rsidRDefault="007D3422">
      <w:pPr>
        <w:jc w:val="both"/>
        <w:rPr>
          <w:rFonts w:ascii="Arial" w:hAnsi="Arial"/>
          <w:color w:val="000080"/>
          <w:sz w:val="20"/>
          <w:szCs w:val="20"/>
        </w:rPr>
      </w:pPr>
    </w:p>
    <w:p w:rsidR="007D3422" w:rsidRDefault="007D3422">
      <w:pPr>
        <w:jc w:val="both"/>
        <w:rPr>
          <w:rFonts w:ascii="Arial" w:hAnsi="Arial"/>
          <w:color w:val="000080"/>
          <w:sz w:val="20"/>
          <w:szCs w:val="20"/>
        </w:rPr>
      </w:pPr>
    </w:p>
    <w:p w:rsidR="007D3422" w:rsidRDefault="009B410C">
      <w:pPr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Conditions de recevabilité</w:t>
      </w:r>
    </w:p>
    <w:p w:rsidR="007D3422" w:rsidRDefault="007D3422">
      <w:pPr>
        <w:ind w:left="113"/>
        <w:jc w:val="both"/>
        <w:rPr>
          <w:rFonts w:ascii="Arial" w:hAnsi="Arial"/>
          <w:b/>
          <w:color w:val="000080"/>
        </w:rPr>
      </w:pPr>
    </w:p>
    <w:p w:rsidR="007D3422" w:rsidRDefault="009B410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La demande ne peut concerner qu’une seule Direction régionale des affaires cultu</w:t>
      </w:r>
      <w:r>
        <w:rPr>
          <w:rFonts w:ascii="Arial" w:hAnsi="Arial"/>
          <w:color w:val="000000"/>
          <w:sz w:val="20"/>
        </w:rPr>
        <w:t>relles, celle dont relève le domicile du demandeur.</w:t>
      </w:r>
    </w:p>
    <w:p w:rsidR="007D3422" w:rsidRDefault="009B410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Un projet présenté par un collectif ne pourra faire l’objet que d’une seule demande et devra être porté nominativement par l’un de ses membres mandaté par le collectif.</w:t>
      </w:r>
    </w:p>
    <w:p w:rsidR="007D3422" w:rsidRDefault="009B410C">
      <w:pPr>
        <w:numPr>
          <w:ilvl w:val="0"/>
          <w:numId w:val="1"/>
        </w:numPr>
        <w:tabs>
          <w:tab w:val="left" w:pos="-550"/>
        </w:tabs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Le bénéficiaire d’une allocation d’</w:t>
      </w:r>
      <w:r>
        <w:rPr>
          <w:rFonts w:ascii="Arial" w:hAnsi="Arial"/>
          <w:color w:val="000000"/>
          <w:sz w:val="20"/>
        </w:rPr>
        <w:t>installation d’atelier ou d’achat de matériel ne peut prétendre, au titre de la même année, à l’attribution d’une aide individuelle à la création.</w:t>
      </w:r>
    </w:p>
    <w:p w:rsidR="007D3422" w:rsidRDefault="009B410C">
      <w:pPr>
        <w:numPr>
          <w:ilvl w:val="0"/>
          <w:numId w:val="1"/>
        </w:numPr>
        <w:tabs>
          <w:tab w:val="left" w:pos="-550"/>
        </w:tabs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Le bénéficiaire d'une allocation d'installation d'atelier ne peut pas prétendre à la même aide dans les trois</w:t>
      </w:r>
      <w:r>
        <w:rPr>
          <w:rFonts w:ascii="Arial" w:hAnsi="Arial"/>
          <w:color w:val="000000"/>
          <w:sz w:val="20"/>
        </w:rPr>
        <w:t xml:space="preserve"> exercices budgétaires suivant l'octroi de ladite aide.</w:t>
      </w:r>
    </w:p>
    <w:p w:rsidR="007D3422" w:rsidRDefault="009B410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 xml:space="preserve">L’allocation d’installation ne concerne que les locaux dédiés à l’activité professionnelle. Les artistes doivent être propriétaires, ou occupants en titre des dits locaux. </w:t>
      </w:r>
    </w:p>
    <w:p w:rsidR="007D3422" w:rsidRDefault="009B410C">
      <w:pPr>
        <w:numPr>
          <w:ilvl w:val="0"/>
          <w:numId w:val="1"/>
        </w:numPr>
        <w:tabs>
          <w:tab w:val="left" w:pos="-550"/>
        </w:tabs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Pour l’achat de matériel, s</w:t>
      </w:r>
      <w:r>
        <w:rPr>
          <w:rFonts w:ascii="Arial" w:hAnsi="Arial"/>
          <w:color w:val="000000"/>
          <w:sz w:val="20"/>
        </w:rPr>
        <w:t>eules sont recevables les demandes de matériel (informatique, photographique, presse, four…), dédiées à la pratique artistique, hors consommables et à l’exclusion des demandes relatives à la gestion ou à la communication/diffusion (création de site…). Dans</w:t>
      </w:r>
      <w:r>
        <w:rPr>
          <w:rFonts w:ascii="Arial" w:hAnsi="Arial"/>
          <w:color w:val="000000"/>
          <w:sz w:val="20"/>
        </w:rPr>
        <w:t xml:space="preserve"> le cas d’une demande portant sur du matériel informatique ou numérique, le dossier doit attester d’une pratique artistique d’au moins deux ans recourant à ces médiums.</w:t>
      </w:r>
    </w:p>
    <w:p w:rsidR="007D3422" w:rsidRDefault="007D3422">
      <w:pPr>
        <w:jc w:val="both"/>
        <w:rPr>
          <w:rFonts w:ascii="Arial" w:eastAsia="Times New Roman" w:hAnsi="Arial" w:cs="Arial"/>
          <w:b/>
          <w:bCs/>
          <w:color w:val="000080"/>
          <w:szCs w:val="20"/>
          <w:lang w:bidi="ar-SA"/>
        </w:rPr>
      </w:pPr>
    </w:p>
    <w:p w:rsidR="007D3422" w:rsidRDefault="007D3422">
      <w:pPr>
        <w:jc w:val="both"/>
        <w:rPr>
          <w:rFonts w:ascii="Arial" w:eastAsia="Times New Roman" w:hAnsi="Arial" w:cs="Arial"/>
          <w:b/>
          <w:bCs/>
          <w:color w:val="000080"/>
          <w:szCs w:val="20"/>
          <w:lang w:bidi="ar-SA"/>
        </w:rPr>
      </w:pPr>
    </w:p>
    <w:p w:rsidR="007D3422" w:rsidRDefault="009B410C">
      <w:pPr>
        <w:jc w:val="both"/>
        <w:rPr>
          <w:rFonts w:ascii="Arial" w:eastAsia="Times New Roman" w:hAnsi="Arial" w:cs="Arial"/>
          <w:b/>
          <w:bCs/>
          <w:color w:val="000080"/>
          <w:szCs w:val="20"/>
          <w:lang w:bidi="ar-SA"/>
        </w:rPr>
      </w:pPr>
      <w:r>
        <w:rPr>
          <w:rFonts w:ascii="Arial" w:eastAsia="Times New Roman" w:hAnsi="Arial" w:cs="Arial"/>
          <w:b/>
          <w:bCs/>
          <w:color w:val="000080"/>
          <w:szCs w:val="20"/>
          <w:lang w:bidi="ar-SA"/>
        </w:rPr>
        <w:t>Pièces composant obligatoirement le dossier</w:t>
      </w:r>
    </w:p>
    <w:p w:rsidR="007D3422" w:rsidRDefault="007D3422">
      <w:pPr>
        <w:jc w:val="both"/>
        <w:rPr>
          <w:rFonts w:ascii="Arial" w:eastAsia="Times New Roman" w:hAnsi="Arial" w:cs="Arial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eastAsia="Times New Roman" w:hAnsi="Arial" w:cs="Arial"/>
          <w:sz w:val="20"/>
          <w:lang w:bidi="ar-SA"/>
        </w:rPr>
        <w:t>Le formulaire dématérialisé de demande d</w:t>
      </w:r>
      <w:r>
        <w:rPr>
          <w:rFonts w:ascii="Arial" w:eastAsia="Times New Roman" w:hAnsi="Arial" w:cs="Arial"/>
          <w:sz w:val="20"/>
          <w:lang w:bidi="ar-SA"/>
        </w:rPr>
        <w:t>’allocation d’installation d’atelier et achat de matériel dûment rempli.</w:t>
      </w:r>
    </w:p>
    <w:p w:rsidR="007D3422" w:rsidRDefault="007D3422">
      <w:pPr>
        <w:jc w:val="both"/>
        <w:rPr>
          <w:rFonts w:ascii="Arial" w:eastAsia="Times New Roman" w:hAnsi="Arial" w:cs="Arial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0"/>
          <w:lang w:bidi="ar-SA"/>
        </w:rPr>
        <w:t>et en pièces jointes dématérialisées :</w:t>
      </w:r>
    </w:p>
    <w:p w:rsidR="007D3422" w:rsidRDefault="007D3422">
      <w:pPr>
        <w:jc w:val="both"/>
        <w:rPr>
          <w:rFonts w:ascii="Arial" w:eastAsia="Times New Roman" w:hAnsi="Arial" w:cs="Arial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sz w:val="20"/>
          <w:lang w:bidi="ar-SA"/>
        </w:rPr>
        <w:t xml:space="preserve"> un CV actualisé ;</w:t>
      </w:r>
    </w:p>
    <w:p w:rsidR="007D3422" w:rsidRDefault="009B410C">
      <w:pPr>
        <w:ind w:left="283" w:hanging="283"/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sz w:val="20"/>
          <w:lang w:bidi="ar-SA"/>
        </w:rPr>
        <w:t xml:space="preserve"> une note présentant le projet, détaillant les dépenses et le financement prévu, certifiant que les travaux n’ont pas été</w:t>
      </w:r>
      <w:r>
        <w:rPr>
          <w:rFonts w:ascii="Arial" w:eastAsia="Times New Roman" w:hAnsi="Arial" w:cs="Arial"/>
          <w:sz w:val="20"/>
          <w:lang w:bidi="ar-SA"/>
        </w:rPr>
        <w:t xml:space="preserve"> engagés ou le matériel déjà acquis ;</w:t>
      </w:r>
    </w:p>
    <w:p w:rsidR="007D3422" w:rsidRDefault="009B410C">
      <w:pPr>
        <w:ind w:left="283" w:hanging="283"/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sz w:val="20"/>
          <w:lang w:bidi="ar-SA"/>
        </w:rPr>
        <w:t xml:space="preserve"> une documentation  / un dossier artistique (portfolio) sous la forme d’un document unique dématérialisé sous format Pdf (poids inférieur à 2 Mo) ;</w:t>
      </w:r>
    </w:p>
    <w:p w:rsidR="007D3422" w:rsidRDefault="007D3422">
      <w:pPr>
        <w:ind w:left="283" w:hanging="283"/>
        <w:jc w:val="both"/>
        <w:rPr>
          <w:rFonts w:ascii="Arial" w:eastAsia="Times New Roman" w:hAnsi="Arial" w:cs="Arial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sz w:val="20"/>
          <w:lang w:bidi="ar-SA"/>
        </w:rPr>
        <w:t xml:space="preserve"> copie d’une pièce d’identité en cours de validité : carte national</w:t>
      </w:r>
      <w:r>
        <w:rPr>
          <w:rFonts w:ascii="Arial" w:eastAsia="Times New Roman" w:hAnsi="Arial" w:cs="Arial"/>
          <w:sz w:val="20"/>
          <w:lang w:bidi="ar-SA"/>
        </w:rPr>
        <w:t>e d’identité, passeport, titre de séjour ;</w:t>
      </w:r>
    </w:p>
    <w:p w:rsidR="007D3422" w:rsidRDefault="009B410C">
      <w:pPr>
        <w:ind w:left="283" w:hanging="283"/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sz w:val="20"/>
          <w:lang w:bidi="ar-SA"/>
        </w:rPr>
        <w:t xml:space="preserve"> un relevé d'identité bancaire ou postal en France, au nom et prénom d'état-civil du demandeur,</w:t>
      </w:r>
      <w:r>
        <w:rPr>
          <w:rFonts w:ascii="Arial" w:eastAsia="Times New Roman" w:hAnsi="Arial" w:cs="Arial"/>
          <w:sz w:val="20"/>
          <w:lang w:bidi="ar-SA"/>
        </w:rPr>
        <w:t xml:space="preserve"> avec une adresse à jour ;</w:t>
      </w:r>
    </w:p>
    <w:p w:rsidR="007D3422" w:rsidRDefault="009B410C">
      <w:pPr>
        <w:ind w:left="283" w:hanging="283"/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lastRenderedPageBreak/>
        <w:t></w:t>
      </w:r>
      <w:r>
        <w:rPr>
          <w:rFonts w:ascii="Arial" w:eastAsia="Times New Roman" w:hAnsi="Arial" w:cs="Arial"/>
          <w:sz w:val="20"/>
          <w:lang w:bidi="ar-SA"/>
        </w:rPr>
        <w:t xml:space="preserve"> justificatif de résidence nominatif : quittance de loyer, facture d’énergie </w:t>
      </w:r>
      <w:r>
        <w:rPr>
          <w:rFonts w:ascii="Arial" w:eastAsia="Times New Roman" w:hAnsi="Arial" w:cs="Arial"/>
          <w:sz w:val="20"/>
          <w:lang w:bidi="ar-SA"/>
        </w:rPr>
        <w:t>de moins de 3 mois, impôts locaux (taxe d’habitation ou taxe foncière) ;</w:t>
      </w: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color w:val="0099FF"/>
          <w:sz w:val="20"/>
          <w:lang w:bidi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bidi="ar-SA"/>
        </w:rPr>
        <w:t>une photocopie du dernier avis d’imposition ;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lang w:bidi="ar-SA"/>
        </w:rPr>
      </w:pPr>
    </w:p>
    <w:p w:rsidR="007D3422" w:rsidRDefault="009B410C">
      <w:pPr>
        <w:ind w:left="283" w:hanging="283"/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color w:val="000000"/>
          <w:sz w:val="20"/>
          <w:lang w:bidi="ar-SA"/>
        </w:rPr>
        <w:t xml:space="preserve"> pour </w:t>
      </w:r>
      <w:r>
        <w:rPr>
          <w:rFonts w:ascii="Arial" w:eastAsia="Times New Roman" w:hAnsi="Arial" w:cs="Arial"/>
          <w:color w:val="000000"/>
          <w:sz w:val="20"/>
          <w:u w:val="single"/>
          <w:lang w:bidi="ar-SA"/>
        </w:rPr>
        <w:t>l’allocation d’installation</w:t>
      </w:r>
      <w:r>
        <w:rPr>
          <w:rFonts w:ascii="Arial" w:eastAsia="Times New Roman" w:hAnsi="Arial" w:cs="Arial"/>
          <w:color w:val="000000"/>
          <w:sz w:val="20"/>
          <w:lang w:bidi="ar-SA"/>
        </w:rPr>
        <w:t xml:space="preserve"> et dans le cas d’une location, une attestation du propriétaire autorisant les travaux et précisant </w:t>
      </w:r>
      <w:r>
        <w:rPr>
          <w:rFonts w:ascii="Arial" w:eastAsia="Times New Roman" w:hAnsi="Arial" w:cs="Arial"/>
          <w:color w:val="000000"/>
          <w:sz w:val="20"/>
          <w:lang w:bidi="ar-SA"/>
        </w:rPr>
        <w:t>la durée du bail restant à courir. Le cas échéant, copie de l’autorisation de travaux délivrée par l’autorité compétente ;</w:t>
      </w: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color w:val="0099FF"/>
          <w:sz w:val="20"/>
          <w:lang w:bidi="ar-SA"/>
        </w:rPr>
        <w:t xml:space="preserve"> </w:t>
      </w:r>
      <w:r>
        <w:rPr>
          <w:rFonts w:ascii="Arial" w:eastAsia="Times New Roman" w:hAnsi="Arial" w:cs="Arial"/>
          <w:b/>
          <w:bCs/>
          <w:color w:val="0099FF"/>
          <w:sz w:val="20"/>
          <w:lang w:bidi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bidi="ar-SA"/>
        </w:rPr>
        <w:t>un devis TTC pour l’aménagement ;</w:t>
      </w: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color w:val="0099FF"/>
          <w:sz w:val="20"/>
          <w:lang w:bidi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bidi="ar-SA"/>
        </w:rPr>
        <w:t xml:space="preserve"> plans avant et après aménagement ;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Webdings" w:eastAsia="Webdings" w:hAnsi="Webdings" w:cs="Webdings"/>
          <w:color w:val="0099FF"/>
          <w:sz w:val="20"/>
          <w:lang w:bidi="ar-SA"/>
        </w:rPr>
        <w:t></w:t>
      </w:r>
      <w:r>
        <w:rPr>
          <w:rFonts w:ascii="Arial" w:eastAsia="Times New Roman" w:hAnsi="Arial" w:cs="Arial"/>
          <w:color w:val="0099FF"/>
          <w:sz w:val="20"/>
          <w:lang w:bidi="ar-SA"/>
        </w:rPr>
        <w:t xml:space="preserve">  </w:t>
      </w:r>
      <w:r>
        <w:rPr>
          <w:rFonts w:ascii="Arial" w:eastAsia="Times New Roman" w:hAnsi="Arial" w:cs="Arial"/>
          <w:color w:val="000000"/>
          <w:sz w:val="20"/>
          <w:lang w:bidi="ar-SA"/>
        </w:rPr>
        <w:t xml:space="preserve">un devis TTC </w:t>
      </w:r>
      <w:r>
        <w:rPr>
          <w:rFonts w:ascii="Arial" w:eastAsia="Times New Roman" w:hAnsi="Arial" w:cs="Arial"/>
          <w:color w:val="000000"/>
          <w:sz w:val="20"/>
          <w:u w:val="single"/>
          <w:lang w:bidi="ar-SA"/>
        </w:rPr>
        <w:t>pour l’achat de matériel neuf et/ou un ce</w:t>
      </w:r>
      <w:r>
        <w:rPr>
          <w:rFonts w:ascii="Arial" w:eastAsia="Times New Roman" w:hAnsi="Arial" w:cs="Arial"/>
          <w:color w:val="000000"/>
          <w:sz w:val="20"/>
          <w:u w:val="single"/>
          <w:lang w:bidi="ar-SA"/>
        </w:rPr>
        <w:t>rtificat du vendeur pour le matériel d’occasion.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lang w:bidi="ar-SA"/>
        </w:rPr>
      </w:pP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Calibri;sans-serif" w:eastAsia="Times New Roman" w:hAnsi="Calibri;sans-serif" w:cs="Arial"/>
          <w:b/>
          <w:bCs/>
          <w:color w:val="000000"/>
          <w:sz w:val="22"/>
          <w:lang w:bidi="ar-SA"/>
        </w:rPr>
        <w:t>Attention : les noms figurant sur vos RIB et justificatif de domicile doivent concorder avec le nom figurant sur votre pièce d’identité </w:t>
      </w:r>
      <w:r>
        <w:rPr>
          <w:rFonts w:ascii="Arial" w:eastAsia="Times New Roman" w:hAnsi="Arial" w:cs="Arial"/>
          <w:b/>
          <w:bCs/>
          <w:color w:val="000000"/>
          <w:sz w:val="20"/>
          <w:lang w:bidi="ar-SA"/>
        </w:rPr>
        <w:t xml:space="preserve"> 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lang w:bidi="ar-SA"/>
        </w:rPr>
      </w:pPr>
    </w:p>
    <w:p w:rsidR="007D3422" w:rsidRDefault="009B410C">
      <w:pPr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Modalités de sélection</w:t>
      </w:r>
    </w:p>
    <w:p w:rsidR="007D3422" w:rsidRDefault="007D3422">
      <w:pPr>
        <w:jc w:val="both"/>
        <w:rPr>
          <w:rFonts w:ascii="Arial" w:hAnsi="Arial"/>
          <w:color w:val="000000"/>
          <w:sz w:val="20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Les demandes sont examinées par une commission réunie une fois par an. La date de la commission est publiée sur le site de la DRAC.</w:t>
      </w: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 xml:space="preserve">La composition de cette commission est fixée par arrêté du préfet de région. </w:t>
      </w:r>
      <w:r>
        <w:rPr>
          <w:rFonts w:ascii="Arial" w:hAnsi="Arial"/>
          <w:color w:val="000000"/>
          <w:sz w:val="20"/>
          <w:highlight w:val="yellow"/>
        </w:rPr>
        <w:t>[lien sur l’arrêté de composition]</w:t>
      </w: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La commissio</w:t>
      </w:r>
      <w:r>
        <w:rPr>
          <w:rFonts w:ascii="Arial" w:hAnsi="Arial"/>
          <w:color w:val="000000"/>
          <w:sz w:val="20"/>
        </w:rPr>
        <w:t>n émet un avis au vu du dossier artistique et de l’ensemble des pièces fournies.</w:t>
      </w:r>
    </w:p>
    <w:p w:rsidR="007D3422" w:rsidRDefault="007D3422">
      <w:pPr>
        <w:jc w:val="both"/>
        <w:rPr>
          <w:rFonts w:ascii="Arial" w:hAnsi="Arial"/>
          <w:color w:val="000000"/>
          <w:sz w:val="20"/>
          <w:highlight w:val="blue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hAnsi="Arial"/>
          <w:color w:val="000000"/>
          <w:sz w:val="20"/>
        </w:rPr>
        <w:t>La décision de la Direction régionale des affaires culturelles est communiquée par courriel à chaque candidat. Aucune réponse ne sera donnée par téléphone.</w:t>
      </w:r>
    </w:p>
    <w:p w:rsidR="007D3422" w:rsidRDefault="007D3422">
      <w:pPr>
        <w:jc w:val="both"/>
        <w:rPr>
          <w:rFonts w:ascii="Arial" w:hAnsi="Arial"/>
          <w:color w:val="000080"/>
          <w:sz w:val="20"/>
          <w:szCs w:val="20"/>
        </w:rPr>
      </w:pPr>
    </w:p>
    <w:p w:rsidR="007D3422" w:rsidRDefault="007D3422">
      <w:pPr>
        <w:jc w:val="both"/>
        <w:rPr>
          <w:rFonts w:ascii="Arial" w:hAnsi="Arial"/>
          <w:color w:val="000000"/>
          <w:sz w:val="20"/>
          <w:szCs w:val="20"/>
        </w:rPr>
      </w:pPr>
    </w:p>
    <w:p w:rsidR="007D3422" w:rsidRDefault="007D3422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</w:pPr>
    </w:p>
    <w:p w:rsidR="007D3422" w:rsidRDefault="009B410C">
      <w:pPr>
        <w:jc w:val="both"/>
        <w:rPr>
          <w:rFonts w:ascii="Arial" w:eastAsia="Times New Roman" w:hAnsi="Arial" w:cs="Arial"/>
          <w:b/>
          <w:bCs/>
          <w:color w:val="000080"/>
          <w:szCs w:val="20"/>
          <w:lang w:bidi="ar-SA"/>
        </w:rPr>
      </w:pPr>
      <w:r>
        <w:rPr>
          <w:rFonts w:ascii="Arial" w:eastAsia="Times New Roman" w:hAnsi="Arial" w:cs="Arial"/>
          <w:b/>
          <w:bCs/>
          <w:color w:val="000080"/>
          <w:szCs w:val="20"/>
          <w:lang w:bidi="ar-SA"/>
        </w:rPr>
        <w:t xml:space="preserve">Engagement du </w:t>
      </w:r>
      <w:r>
        <w:rPr>
          <w:rFonts w:ascii="Arial" w:eastAsia="Times New Roman" w:hAnsi="Arial" w:cs="Arial"/>
          <w:b/>
          <w:bCs/>
          <w:color w:val="000080"/>
          <w:szCs w:val="20"/>
          <w:lang w:bidi="ar-SA"/>
        </w:rPr>
        <w:t>bénéficiaire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7D3422" w:rsidRDefault="009B410C">
      <w:pPr>
        <w:jc w:val="both"/>
        <w:rPr>
          <w:rFonts w:hint="eastAsia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Le bénéficiaire de l’aide doit impérativement fournir à la Direction régionale des affaires culturelles un bilan d’exécution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  <w:t>au plus tard 1 an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  <w:t xml:space="preserve"> après l’obtention de l’aide.</w:t>
      </w:r>
    </w:p>
    <w:p w:rsidR="007D3422" w:rsidRDefault="007D3422">
      <w:pPr>
        <w:jc w:val="both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7D3422" w:rsidRDefault="009B410C">
      <w:pPr>
        <w:jc w:val="both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>Le bénéficiaire s’engage à déclarer cette aide dans le cadre de ses o</w:t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>bligations fiscales (impôt sur le revenu) et sociales (auprès de l’organisme de recouvrement des cotisations : urssaf).</w:t>
      </w:r>
    </w:p>
    <w:p w:rsidR="007D3422" w:rsidRDefault="007D3422">
      <w:pPr>
        <w:jc w:val="both"/>
        <w:rPr>
          <w:rFonts w:ascii="Arial" w:hAnsi="Arial"/>
          <w:color w:val="000000"/>
          <w:sz w:val="20"/>
          <w:szCs w:val="20"/>
        </w:rPr>
      </w:pPr>
    </w:p>
    <w:p w:rsidR="007D3422" w:rsidRDefault="007D3422">
      <w:pPr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7D3422" w:rsidRDefault="007D3422">
      <w:pPr>
        <w:jc w:val="both"/>
        <w:rPr>
          <w:rFonts w:hint="eastAsia"/>
        </w:rPr>
      </w:pPr>
    </w:p>
    <w:sectPr w:rsidR="007D3422">
      <w:footerReference w:type="default" r:id="rId7"/>
      <w:pgSz w:w="11906" w:h="16838"/>
      <w:pgMar w:top="720" w:right="1134" w:bottom="1049" w:left="1134" w:header="0" w:footer="1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410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B41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22" w:rsidRDefault="007D3422">
    <w:pPr>
      <w:tabs>
        <w:tab w:val="right" w:pos="9355"/>
      </w:tabs>
      <w:jc w:val="center"/>
      <w:rPr>
        <w:rFonts w:ascii="Arial" w:hAnsi="Arial"/>
        <w:color w:val="000000"/>
        <w:sz w:val="12"/>
        <w:szCs w:val="12"/>
      </w:rPr>
    </w:pPr>
  </w:p>
  <w:p w:rsidR="007D3422" w:rsidRDefault="009B410C">
    <w:pPr>
      <w:jc w:val="center"/>
      <w:rPr>
        <w:rFonts w:hint="eastAsia"/>
      </w:rPr>
    </w:pPr>
    <w:r>
      <w:rPr>
        <w:rFonts w:ascii="Arial" w:hAnsi="Arial"/>
        <w:color w:val="000000"/>
        <w:sz w:val="12"/>
        <w:szCs w:val="12"/>
      </w:rPr>
      <w:fldChar w:fldCharType="begin"/>
    </w:r>
    <w:r>
      <w:rPr>
        <w:rFonts w:ascii="Arial" w:hAnsi="Arial"/>
        <w:sz w:val="12"/>
        <w:szCs w:val="12"/>
      </w:rPr>
      <w:instrText>PAGE</w:instrText>
    </w:r>
    <w:r>
      <w:rPr>
        <w:rFonts w:ascii="Arial" w:hAnsi="Arial"/>
        <w:sz w:val="12"/>
        <w:szCs w:val="12"/>
      </w:rPr>
      <w:fldChar w:fldCharType="separate"/>
    </w:r>
    <w:r>
      <w:rPr>
        <w:rFonts w:ascii="Arial" w:hAnsi="Arial"/>
        <w:noProof/>
        <w:sz w:val="12"/>
        <w:szCs w:val="12"/>
      </w:rPr>
      <w:t>1</w:t>
    </w:r>
    <w:r>
      <w:rPr>
        <w:rFonts w:ascii="Arial" w:hAnsi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410C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9B41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634D"/>
    <w:multiLevelType w:val="multilevel"/>
    <w:tmpl w:val="9F50572E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E412E4"/>
    <w:multiLevelType w:val="multilevel"/>
    <w:tmpl w:val="F440C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422"/>
    <w:rsid w:val="007D3422"/>
    <w:rsid w:val="009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50B26-B425-4324-81FD-3EB4311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En-tteCar">
    <w:name w:val="En-tête Car"/>
    <w:basedOn w:val="Policepardfaut"/>
    <w:qFormat/>
    <w:rPr>
      <w:szCs w:val="21"/>
    </w:rPr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paragraph" w:customStyle="1" w:styleId="LO-Normal">
    <w:name w:val="LO-Normal"/>
    <w:qFormat/>
    <w:pPr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qFormat/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LO-Normal"/>
    <w:qFormat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HOBÉNICHE Isis</dc:creator>
  <dc:description/>
  <cp:lastModifiedBy>HOBÉNICHE Isis</cp:lastModifiedBy>
  <cp:revision>2</cp:revision>
  <cp:lastPrinted>2020-11-20T09:52:00Z</cp:lastPrinted>
  <dcterms:created xsi:type="dcterms:W3CDTF">2020-11-20T10:50:00Z</dcterms:created>
  <dcterms:modified xsi:type="dcterms:W3CDTF">2020-11-20T09:52:00Z</dcterms:modified>
  <dc:language>fr-FR</dc:language>
</cp:coreProperties>
</file>