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op w:val="single" w:sz="4" w:space="0" w:color="000001"/>
          <w:left w:val="single" w:sz="4" w:space="0" w:color="000001"/>
          <w:bottom w:val="single" w:sz="4" w:space="0" w:color="000001"/>
          <w:right w:val="single" w:sz="4" w:space="0" w:color="000001"/>
        </w:pBdr>
        <w:jc w:val="both"/>
        <w:rPr>
          <w:sz w:val="36"/>
          <w:b/>
          <w:sz w:val="36"/>
          <w:b/>
          <w:szCs w:val="36"/>
          <w:bCs/>
          <w:rFonts w:ascii="Arial" w:hAnsi="Arial" w:cs="Arial"/>
        </w:rPr>
      </w:pPr>
      <w:r>
        <w:rPr>
          <w:rFonts w:cs="Arial" w:ascii="Arial" w:hAnsi="Arial"/>
          <w:b/>
          <w:bCs/>
          <w:sz w:val="36"/>
          <w:szCs w:val="36"/>
        </w:rPr>
        <w:t xml:space="preserve"> </w:t>
      </w:r>
      <w:r>
        <w:rPr>
          <w:rFonts w:cs="Arial" w:ascii="Arial" w:hAnsi="Arial"/>
          <w:b/>
          <w:bCs/>
          <w:sz w:val="36"/>
          <w:szCs w:val="36"/>
        </w:rPr>
        <w:t>Appel à projet «Cirque»</w:t>
      </w:r>
      <w:r/>
    </w:p>
    <w:p>
      <w:pPr>
        <w:pStyle w:val="Normal"/>
        <w:pBdr>
          <w:top w:val="single" w:sz="4" w:space="0" w:color="000001"/>
          <w:left w:val="single" w:sz="4" w:space="0" w:color="000001"/>
          <w:bottom w:val="single" w:sz="4" w:space="0" w:color="000001"/>
          <w:right w:val="single" w:sz="4" w:space="0" w:color="000001"/>
        </w:pBdr>
        <w:jc w:val="both"/>
        <w:rPr>
          <w:sz w:val="36"/>
          <w:b/>
          <w:sz w:val="36"/>
          <w:b/>
          <w:szCs w:val="36"/>
          <w:bCs/>
          <w:rFonts w:ascii="Arial" w:hAnsi="Arial" w:cs="Arial"/>
        </w:rPr>
      </w:pPr>
      <w:r>
        <w:rPr>
          <w:rFonts w:cs="Arial" w:ascii="Arial" w:hAnsi="Arial"/>
          <w:b/>
          <w:bCs/>
          <w:sz w:val="36"/>
          <w:szCs w:val="36"/>
        </w:rPr>
        <w:t>Résidence de médiation en quartier prioritaire politique de la ville</w:t>
      </w:r>
      <w:r/>
    </w:p>
    <w:p>
      <w:pPr>
        <w:pStyle w:val="Normal"/>
        <w:jc w:val="both"/>
        <w:rPr>
          <w:sz w:val="36"/>
          <w:b/>
          <w:sz w:val="36"/>
          <w:b/>
          <w:szCs w:val="36"/>
          <w:bCs/>
          <w:rFonts w:ascii="Arial" w:hAnsi="Arial" w:cs="Arial"/>
        </w:rPr>
      </w:pPr>
      <w:r>
        <w:rPr>
          <w:rFonts w:cs="Arial" w:ascii="Arial" w:hAnsi="Arial"/>
          <w:b/>
          <w:bCs/>
          <w:sz w:val="36"/>
          <w:szCs w:val="36"/>
        </w:rPr>
        <w:tab/>
        <w:tab/>
        <w:tab/>
        <w:tab/>
        <w:tab/>
        <w:tab/>
        <w:tab/>
        <w:tab/>
        <w:t>Année 2016/2017</w:t>
      </w:r>
      <w:r/>
    </w:p>
    <w:p>
      <w:pPr>
        <w:pStyle w:val="Normal"/>
        <w:jc w:val="both"/>
        <w:rPr>
          <w:sz w:val="36"/>
          <w:b/>
          <w:sz w:val="36"/>
          <w:b/>
          <w:szCs w:val="36"/>
          <w:bCs/>
          <w:rFonts w:ascii="Arial" w:hAnsi="Arial" w:eastAsia="Times New Roman" w:cs="Arial"/>
          <w:color w:val="00000A"/>
          <w:lang w:val="fr-FR" w:eastAsia="ar-SA" w:bidi="ar-SA"/>
        </w:rPr>
      </w:pPr>
      <w:r>
        <w:rPr>
          <w:rFonts w:eastAsia="Times New Roman" w:cs="Arial" w:ascii="Arial" w:hAnsi="Arial"/>
          <w:b/>
          <w:bCs/>
          <w:color w:val="00000A"/>
          <w:sz w:val="36"/>
          <w:szCs w:val="36"/>
          <w:lang w:val="fr-FR" w:eastAsia="ar-SA" w:bidi="ar-SA"/>
        </w:rPr>
      </w:r>
      <w:r/>
    </w:p>
    <w:p>
      <w:pPr>
        <w:pStyle w:val="Normal"/>
        <w:jc w:val="both"/>
        <w:rPr>
          <w:sz w:val="36"/>
          <w:u w:val="single"/>
          <w:b/>
          <w:sz w:val="36"/>
          <w:b/>
          <w:szCs w:val="36"/>
          <w:bCs/>
          <w:rFonts w:ascii="Arial" w:hAnsi="Arial" w:cs="Arial"/>
        </w:rPr>
      </w:pPr>
      <w:r>
        <w:rPr>
          <w:rFonts w:cs="Arial" w:ascii="Arial" w:hAnsi="Arial"/>
          <w:b/>
          <w:bCs/>
          <w:sz w:val="36"/>
          <w:szCs w:val="36"/>
          <w:u w:val="single"/>
        </w:rPr>
        <w:t>Votre démarche</w:t>
      </w:r>
      <w:r/>
    </w:p>
    <w:p>
      <w:pPr>
        <w:pStyle w:val="Normal"/>
        <w:jc w:val="both"/>
        <w:rPr>
          <w:sz w:val="36"/>
          <w:b/>
          <w:sz w:val="36"/>
          <w:b/>
          <w:szCs w:val="36"/>
          <w:bCs/>
          <w:rFonts w:ascii="Arial" w:hAnsi="Arial" w:eastAsia="Times New Roman" w:cs="Arial"/>
          <w:color w:val="00000A"/>
          <w:lang w:val="fr-FR" w:eastAsia="ar-SA" w:bidi="ar-SA"/>
        </w:rPr>
      </w:pPr>
      <w:r>
        <w:rPr>
          <w:rFonts w:eastAsia="Times New Roman" w:cs="Arial" w:ascii="Arial" w:hAnsi="Arial"/>
          <w:b/>
          <w:bCs/>
          <w:color w:val="00000A"/>
          <w:sz w:val="36"/>
          <w:szCs w:val="36"/>
          <w:lang w:val="fr-FR" w:eastAsia="ar-SA" w:bidi="ar-SA"/>
        </w:rPr>
      </w:r>
      <w:r/>
    </w:p>
    <w:p>
      <w:pPr>
        <w:pStyle w:val="Normal"/>
        <w:jc w:val="both"/>
        <w:rPr>
          <w:bCs/>
          <w:rFonts w:ascii="Arial" w:hAnsi="Arial" w:cs="Arial"/>
        </w:rPr>
      </w:pPr>
      <w:r>
        <w:rPr>
          <w:rFonts w:cs="Arial" w:ascii="Arial" w:hAnsi="Arial"/>
          <w:bCs/>
          <w:u w:val="single"/>
        </w:rPr>
        <w:t xml:space="preserve">Vous êtes une compagnie de cirque professionnelle </w:t>
      </w:r>
      <w:r>
        <w:rPr>
          <w:rFonts w:cs="Arial" w:ascii="Arial" w:hAnsi="Arial"/>
          <w:bCs/>
        </w:rPr>
        <w:t>(licence professionnelle en cours de validité) à la recherche d’outils afin de développer ou de créer un projet de médiation artistique singulier, et vous n’êtes pas dans une simple démarche de diffusion.</w:t>
      </w:r>
      <w:r/>
    </w:p>
    <w:p>
      <w:pPr>
        <w:pStyle w:val="Normal"/>
        <w:jc w:val="both"/>
        <w:rPr>
          <w:bCs/>
          <w:rFonts w:ascii="Arial" w:hAnsi="Arial" w:cs="Arial"/>
        </w:rPr>
      </w:pPr>
      <w:r>
        <w:rPr>
          <w:rFonts w:cs="Arial" w:ascii="Arial" w:hAnsi="Arial"/>
          <w:bCs/>
        </w:rPr>
        <w:t>Vous n’êtes pas domiciliés sur le territoire de la ville de Graulhet, dpt du Tarn, 81</w:t>
      </w:r>
      <w:r/>
    </w:p>
    <w:p>
      <w:pPr>
        <w:pStyle w:val="Normal"/>
        <w:jc w:val="both"/>
        <w:rPr>
          <w:bCs/>
          <w:rFonts w:ascii="Arial" w:hAnsi="Arial" w:cs="Arial"/>
        </w:rPr>
      </w:pPr>
      <w:r>
        <w:rPr>
          <w:rFonts w:cs="Arial" w:ascii="Arial" w:hAnsi="Arial"/>
          <w:bCs/>
          <w:u w:val="single"/>
        </w:rPr>
        <w:t>Vous travaillez en recherche du contact humain, partager avec les habitants d'un quartier prioritaire inscrit dans le contrat de ville est pour vous une réalité.</w:t>
      </w:r>
      <w:r>
        <w:rPr>
          <w:rFonts w:cs="Arial" w:ascii="Arial" w:hAnsi="Arial"/>
          <w:bCs/>
        </w:rPr>
        <w:t xml:space="preserve"> la richesse de ce que peuvent vous apporter les rencontres nourrit votre travail car vous êtes sensibles à la transmission des savoirs et de l’histoire.</w:t>
      </w:r>
      <w:r/>
    </w:p>
    <w:p>
      <w:pPr>
        <w:pStyle w:val="Normal"/>
        <w:jc w:val="both"/>
        <w:rPr>
          <w:bCs/>
          <w:rFonts w:ascii="Arial" w:hAnsi="Arial" w:cs="Arial"/>
        </w:rPr>
      </w:pPr>
      <w:r>
        <w:rPr>
          <w:rFonts w:cs="Arial" w:ascii="Arial" w:hAnsi="Arial"/>
          <w:bCs/>
        </w:rPr>
        <w:t xml:space="preserve">Votre contexte de travail est d’apporter un </w:t>
      </w:r>
      <w:r>
        <w:rPr>
          <w:rFonts w:cs="Arial" w:ascii="Arial" w:hAnsi="Arial"/>
          <w:bCs/>
          <w:u w:val="single"/>
        </w:rPr>
        <w:t>regard contemporain</w:t>
      </w:r>
      <w:r>
        <w:rPr>
          <w:rFonts w:cs="Arial" w:ascii="Arial" w:hAnsi="Arial"/>
          <w:bCs/>
        </w:rPr>
        <w:t xml:space="preserve"> sur votre appréhension de ce qui vous entoure.</w:t>
      </w:r>
      <w:r/>
    </w:p>
    <w:p>
      <w:pPr>
        <w:pStyle w:val="Normal"/>
        <w:jc w:val="both"/>
        <w:rPr>
          <w:bCs/>
          <w:rFonts w:ascii="Arial" w:hAnsi="Arial" w:cs="Arial"/>
        </w:rPr>
      </w:pPr>
      <w:r>
        <w:rPr>
          <w:rFonts w:cs="Arial" w:ascii="Arial" w:hAnsi="Arial"/>
          <w:bCs/>
          <w:u w:val="single"/>
        </w:rPr>
        <w:t>Vous souhaitez vous approprier une histoire locale</w:t>
      </w:r>
      <w:r>
        <w:rPr>
          <w:rFonts w:cs="Arial" w:ascii="Arial" w:hAnsi="Arial"/>
          <w:bCs/>
        </w:rPr>
        <w:t xml:space="preserve"> afin d’en écrire un moment singulier et inattendu, qui pourrait étendre des ramifications sur votre territoire de recherche.</w:t>
      </w:r>
      <w:r/>
    </w:p>
    <w:p>
      <w:pPr>
        <w:pStyle w:val="Normal"/>
        <w:jc w:val="both"/>
        <w:rPr>
          <w:bCs/>
          <w:rFonts w:ascii="Arial" w:hAnsi="Arial" w:cs="Arial"/>
        </w:rPr>
      </w:pPr>
      <w:r>
        <w:rPr>
          <w:rFonts w:cs="Arial" w:ascii="Arial" w:hAnsi="Arial"/>
          <w:bCs/>
          <w:u w:val="single"/>
        </w:rPr>
        <w:t>Vous êtes sensible à l’idée de transmission</w:t>
      </w:r>
      <w:r>
        <w:rPr>
          <w:rFonts w:cs="Arial" w:ascii="Arial" w:hAnsi="Arial"/>
          <w:bCs/>
        </w:rPr>
        <w:t xml:space="preserve"> de votre démarche artistique en particulier auprès du </w:t>
      </w:r>
      <w:r>
        <w:rPr>
          <w:rFonts w:cs="Arial" w:ascii="Arial" w:hAnsi="Arial"/>
          <w:bCs/>
          <w:u w:val="single"/>
        </w:rPr>
        <w:t>jeune public, de tous les habitants, en particulier d’assurer des rencontres privilégiant le croisement des publics</w:t>
      </w:r>
      <w:r>
        <w:rPr>
          <w:rFonts w:cs="Arial" w:ascii="Arial" w:hAnsi="Arial"/>
          <w:bCs/>
        </w:rPr>
        <w:t xml:space="preserve"> (intergénérationnel, publics spécifiques…), mais aussi des diverses associations locales.</w:t>
      </w:r>
      <w:r/>
    </w:p>
    <w:p>
      <w:pPr>
        <w:pStyle w:val="Normal"/>
        <w:jc w:val="both"/>
        <w:rPr>
          <w:bCs/>
          <w:rFonts w:ascii="Arial" w:hAnsi="Arial" w:cs="Arial"/>
        </w:rPr>
      </w:pPr>
      <w:r>
        <w:rPr>
          <w:rFonts w:cs="Arial" w:ascii="Arial" w:hAnsi="Arial"/>
          <w:bCs/>
        </w:rPr>
        <w:t>Vous pouvez travailler en articulation directe avec d'autres partenaires culturels.</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sz w:val="36"/>
          <w:u w:val="single"/>
          <w:b/>
          <w:sz w:val="36"/>
          <w:b/>
          <w:szCs w:val="36"/>
          <w:bCs/>
          <w:rFonts w:ascii="Arial" w:hAnsi="Arial" w:cs="Arial"/>
        </w:rPr>
      </w:pPr>
      <w:r>
        <w:rPr>
          <w:rFonts w:cs="Arial" w:ascii="Arial" w:hAnsi="Arial"/>
          <w:b/>
          <w:bCs/>
          <w:sz w:val="36"/>
          <w:szCs w:val="36"/>
          <w:u w:val="single"/>
        </w:rPr>
        <w:t>Notre proposition</w:t>
      </w:r>
      <w:r/>
    </w:p>
    <w:p>
      <w:pPr>
        <w:pStyle w:val="Normal"/>
        <w:jc w:val="both"/>
        <w:rPr>
          <w:sz w:val="36"/>
          <w:b/>
          <w:sz w:val="36"/>
          <w:b/>
          <w:szCs w:val="36"/>
          <w:bCs/>
          <w:rFonts w:ascii="Arial" w:hAnsi="Arial" w:eastAsia="Times New Roman" w:cs="Arial"/>
          <w:color w:val="00000A"/>
          <w:lang w:val="fr-FR" w:eastAsia="ar-SA" w:bidi="ar-SA"/>
        </w:rPr>
      </w:pPr>
      <w:r>
        <w:rPr>
          <w:rFonts w:eastAsia="Times New Roman" w:cs="Arial" w:ascii="Arial" w:hAnsi="Arial"/>
          <w:b/>
          <w:bCs/>
          <w:color w:val="00000A"/>
          <w:sz w:val="36"/>
          <w:szCs w:val="36"/>
          <w:lang w:val="fr-FR" w:eastAsia="ar-SA" w:bidi="ar-SA"/>
        </w:rPr>
      </w:r>
      <w:r/>
    </w:p>
    <w:p>
      <w:pPr>
        <w:pStyle w:val="Normal"/>
        <w:jc w:val="both"/>
        <w:rPr>
          <w:sz w:val="28"/>
          <w:u w:val="single"/>
          <w:b/>
          <w:sz w:val="28"/>
          <w:b/>
          <w:szCs w:val="28"/>
          <w:bCs/>
          <w:rFonts w:ascii="Arial" w:hAnsi="Arial" w:cs="Arial"/>
          <w:color w:val="FF3333"/>
        </w:rPr>
      </w:pPr>
      <w:r>
        <w:rPr>
          <w:rFonts w:cs="Arial" w:ascii="Arial" w:hAnsi="Arial"/>
          <w:b/>
          <w:bCs/>
          <w:sz w:val="28"/>
          <w:szCs w:val="28"/>
          <w:u w:val="single"/>
        </w:rPr>
        <w:t>Notre ville</w:t>
      </w:r>
      <w:r/>
    </w:p>
    <w:p>
      <w:pPr>
        <w:pStyle w:val="Normal"/>
        <w:jc w:val="both"/>
        <w:rPr>
          <w:bCs/>
          <w:rFonts w:ascii="Arial" w:hAnsi="Arial" w:cs="Arial"/>
          <w:color w:val="00000A"/>
        </w:rPr>
      </w:pPr>
      <w:r>
        <w:rPr>
          <w:rFonts w:cs="Arial" w:ascii="Arial" w:hAnsi="Arial"/>
          <w:bCs/>
          <w:color w:val="00000A"/>
          <w:u w:val="single"/>
        </w:rPr>
        <w:t>Graulhet est une commune</w:t>
      </w:r>
      <w:r>
        <w:rPr>
          <w:rFonts w:cs="Arial" w:ascii="Arial" w:hAnsi="Arial"/>
          <w:bCs/>
          <w:color w:val="00000A"/>
        </w:rPr>
        <w:t xml:space="preserve"> de 11 807 habitants, dotée d’un projet culturel de territoire visant à proposer une offre culturelle diversifiée et de qualité accessible à tous, et de lieux culturels majeurs, tels que la salle du Forum (1575 places assises, de l’auditorium (200 places assises mais en rénovation du 30 septembre 2016 au 15 septembre 2017), la maison des métiers du cuir et deux équipements communautaires : le cinéma Vertigo (label Art &amp; Essai) et la médiathèque M. Yourcenar.</w:t>
      </w:r>
      <w:r/>
    </w:p>
    <w:p>
      <w:pPr>
        <w:pStyle w:val="Normal"/>
        <w:jc w:val="both"/>
        <w:rPr>
          <w:bCs/>
          <w:rFonts w:ascii="Arial" w:hAnsi="Arial" w:cs="Arial"/>
          <w:color w:val="00000A"/>
        </w:rPr>
      </w:pPr>
      <w:r>
        <w:rPr>
          <w:rFonts w:cs="Arial" w:ascii="Arial" w:hAnsi="Arial"/>
          <w:bCs/>
          <w:color w:val="00000A"/>
        </w:rPr>
        <w:t>Depuis 2008, Graulhet défend un projet culturel dont l’objectif principal est l’accès à la culture pour tous. Parmi les axes de développement retenus, le spectacle vivant est essentiel, par voie de diffusion mais également par le soutien à la création. Notre projet tente également de différencier notre ville en développant une dynamique culturelle à la fois en regard des artistes mais aussi de la population.</w:t>
      </w:r>
      <w:r/>
    </w:p>
    <w:p>
      <w:pPr>
        <w:pStyle w:val="Normal"/>
        <w:jc w:val="both"/>
        <w:rPr>
          <w:bCs/>
          <w:rFonts w:ascii="Arial" w:hAnsi="Arial" w:cs="Arial"/>
          <w:color w:val="00000A"/>
        </w:rPr>
      </w:pPr>
      <w:r>
        <w:rPr>
          <w:rFonts w:cs="Arial" w:ascii="Arial" w:hAnsi="Arial"/>
          <w:bCs/>
          <w:color w:val="00000A"/>
        </w:rPr>
        <w:t>Graulhet possède, dans son patrimoine architectural issu de l’activité du cuir, de nombreuses friches industrielles qui se sont aujourd’hui transformées en outil de travail pour de nombreux artistes installés à Graulhet.</w:t>
      </w:r>
      <w:r/>
    </w:p>
    <w:p>
      <w:pPr>
        <w:pStyle w:val="Normal"/>
        <w:jc w:val="both"/>
        <w:rPr>
          <w:bCs/>
          <w:rFonts w:ascii="Arial" w:hAnsi="Arial" w:cs="Arial"/>
          <w:color w:val="00000A"/>
        </w:rPr>
      </w:pPr>
      <w:r>
        <w:rPr>
          <w:rFonts w:cs="Arial" w:ascii="Arial" w:hAnsi="Arial"/>
          <w:bCs/>
          <w:color w:val="00000A"/>
        </w:rPr>
        <w:t xml:space="preserve">Ainsi, les initiatives artistiques sont nombreuses et les lieux alternatifs aussi, nous pourrons compter par exemple sur la présence du cirque Pistil et de son espace de travail situé dans une ancienne mégisserie et de son gite dédié aux artistes en résidence. </w:t>
      </w:r>
      <w:r/>
    </w:p>
    <w:p>
      <w:pPr>
        <w:pStyle w:val="Normal"/>
        <w:jc w:val="both"/>
        <w:rPr>
          <w:sz w:val="24"/>
          <w:i/>
          <w:u w:val="single"/>
          <w:sz w:val="24"/>
          <w:i/>
          <w:szCs w:val="24"/>
          <w:iCs/>
          <w:bCs/>
          <w:rFonts w:ascii="Arial" w:hAnsi="Arial" w:eastAsia="Times New Roman" w:cs="Arial"/>
          <w:color w:val="00000A"/>
          <w:lang w:val="fr-FR" w:eastAsia="ar-SA" w:bidi="ar-SA"/>
        </w:rPr>
      </w:pPr>
      <w:r>
        <w:rPr>
          <w:rFonts w:eastAsia="Times New Roman" w:cs="Arial" w:ascii="Arial" w:hAnsi="Arial"/>
          <w:bCs/>
          <w:i/>
          <w:iCs/>
          <w:color w:val="00000A"/>
          <w:sz w:val="24"/>
          <w:szCs w:val="24"/>
          <w:u w:val="single"/>
          <w:lang w:val="fr-FR" w:eastAsia="ar-SA" w:bidi="ar-SA"/>
        </w:rPr>
      </w:r>
      <w:r/>
    </w:p>
    <w:p>
      <w:pPr>
        <w:pStyle w:val="Normal"/>
        <w:jc w:val="both"/>
        <w:rPr>
          <w:i/>
          <w:i/>
          <w:iCs/>
          <w:rFonts w:ascii="Arial" w:hAnsi="Arial" w:cs="Arial"/>
          <w:color w:val="FF3333"/>
        </w:rPr>
      </w:pPr>
      <w:r>
        <w:rPr>
          <w:rFonts w:cs="Arial" w:ascii="Arial" w:hAnsi="Arial"/>
          <w:i/>
          <w:iCs/>
          <w:color w:val="00000A"/>
        </w:rPr>
        <w:t>Nécessaire prise en compte de l’évolution du périmètre intercommunal à partir du 1</w:t>
      </w:r>
      <w:r>
        <w:rPr>
          <w:rFonts w:cs="Arial" w:ascii="Arial" w:hAnsi="Arial"/>
          <w:i/>
          <w:iCs/>
          <w:color w:val="00000A"/>
          <w:vertAlign w:val="superscript"/>
        </w:rPr>
        <w:t>er</w:t>
      </w:r>
      <w:r>
        <w:rPr>
          <w:rFonts w:cs="Arial" w:ascii="Arial" w:hAnsi="Arial"/>
          <w:i/>
          <w:iCs/>
          <w:color w:val="00000A"/>
        </w:rPr>
        <w:t xml:space="preserve"> janvier 2017 ; des élus et des structures culturelles des actuelles Communautés de Communes Tarn &amp; Dadou, Rabastinois et Vère Grésigne – Pays Salvagnacois (63 communes pour 69 196 habitants) pourront être associés aux réflexions sur le projet et une ou deux interventions des artistes pourraient être programmées sur ces territoires afin de préparer d’éventuelles nouvelles actions sur une future convention</w:t>
      </w:r>
      <w:r/>
    </w:p>
    <w:p>
      <w:pPr>
        <w:pStyle w:val="Normal"/>
        <w:jc w:val="both"/>
        <w:rPr>
          <w:sz w:val="24"/>
          <w:sz w:val="24"/>
          <w:szCs w:val="24"/>
          <w:bCs/>
          <w:rFonts w:ascii="Arial" w:hAnsi="Arial" w:eastAsia="Times New Roman" w:cs="Arial"/>
          <w:color w:val="FF3333"/>
          <w:lang w:val="fr-FR" w:eastAsia="ar-SA" w:bidi="ar-SA"/>
        </w:rPr>
      </w:pPr>
      <w:r>
        <w:rPr>
          <w:rFonts w:eastAsia="Times New Roman" w:cs="Arial" w:ascii="Arial" w:hAnsi="Arial"/>
          <w:bCs/>
          <w:color w:val="FF3333"/>
          <w:sz w:val="24"/>
          <w:szCs w:val="24"/>
          <w:lang w:val="fr-FR" w:eastAsia="ar-SA" w:bidi="ar-SA"/>
        </w:rPr>
      </w:r>
      <w:r/>
    </w:p>
    <w:p>
      <w:pPr>
        <w:pStyle w:val="Normal"/>
        <w:jc w:val="both"/>
        <w:rPr>
          <w:bCs/>
          <w:rFonts w:ascii="Arial" w:hAnsi="Arial" w:cs="Arial"/>
          <w:color w:val="00000A"/>
        </w:rPr>
      </w:pPr>
      <w:r>
        <w:rPr>
          <w:rFonts w:cs="Arial" w:ascii="Arial" w:hAnsi="Arial"/>
          <w:bCs/>
          <w:color w:val="00000A"/>
          <w:u w:val="single"/>
        </w:rPr>
        <w:t>L’une des orientations intercommunales</w:t>
      </w:r>
      <w:r>
        <w:rPr>
          <w:rFonts w:cs="Arial" w:ascii="Arial" w:hAnsi="Arial"/>
          <w:bCs/>
          <w:color w:val="00000A"/>
        </w:rPr>
        <w:t xml:space="preserve"> est de différencier notre territoire en développant une dynamique culturelle à la fois en regard des artistes mais aussi de la population.</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bCs/>
          <w:rFonts w:ascii="Arial" w:hAnsi="Arial" w:cs="Arial"/>
          <w:color w:val="00000A"/>
        </w:rPr>
      </w:pPr>
      <w:r>
        <w:rPr>
          <w:rFonts w:cs="Arial" w:ascii="Arial" w:hAnsi="Arial"/>
          <w:bCs/>
          <w:color w:val="00000A"/>
          <w:u w:val="single"/>
        </w:rPr>
        <w:t>Notre démarche</w:t>
      </w:r>
      <w:r>
        <w:rPr>
          <w:rFonts w:cs="Arial" w:ascii="Arial" w:hAnsi="Arial"/>
          <w:bCs/>
          <w:color w:val="00000A"/>
        </w:rPr>
        <w:t xml:space="preserve"> est de permettre le développement du vivier artistique en générant des rencontres pluridisciplinaires, avec la population et les artistes.</w:t>
      </w:r>
      <w:r/>
    </w:p>
    <w:p>
      <w:pPr>
        <w:pStyle w:val="Normal"/>
        <w:jc w:val="both"/>
        <w:rPr>
          <w:sz w:val="28"/>
          <w:u w:val="single"/>
          <w:b/>
          <w:sz w:val="28"/>
          <w:b/>
          <w:szCs w:val="28"/>
          <w:bCs/>
          <w:rFonts w:ascii="Arial" w:hAnsi="Arial" w:eastAsia="Times New Roman" w:cs="Arial"/>
          <w:color w:val="FF3333"/>
          <w:lang w:val="fr-FR" w:eastAsia="ar-SA" w:bidi="ar-SA"/>
        </w:rPr>
      </w:pPr>
      <w:r>
        <w:rPr>
          <w:rFonts w:eastAsia="Times New Roman" w:cs="Arial" w:ascii="Arial" w:hAnsi="Arial"/>
          <w:b/>
          <w:bCs/>
          <w:color w:val="FF3333"/>
          <w:sz w:val="28"/>
          <w:szCs w:val="28"/>
          <w:u w:val="single"/>
          <w:lang w:val="fr-FR" w:eastAsia="ar-SA" w:bidi="ar-SA"/>
        </w:rPr>
      </w:r>
      <w:r/>
    </w:p>
    <w:p>
      <w:pPr>
        <w:pStyle w:val="Normal"/>
        <w:jc w:val="both"/>
        <w:rPr>
          <w:sz w:val="28"/>
          <w:u w:val="single"/>
          <w:b/>
          <w:sz w:val="28"/>
          <w:b/>
          <w:szCs w:val="28"/>
          <w:bCs/>
          <w:rFonts w:ascii="Arial" w:hAnsi="Arial" w:cs="Arial"/>
          <w:color w:val="00000A"/>
        </w:rPr>
      </w:pPr>
      <w:r>
        <w:rPr>
          <w:rFonts w:cs="Arial" w:ascii="Arial" w:hAnsi="Arial"/>
          <w:b/>
          <w:bCs/>
          <w:color w:val="00000A"/>
          <w:sz w:val="28"/>
          <w:szCs w:val="28"/>
          <w:u w:val="single"/>
        </w:rPr>
        <w:t>La résidence d’artistes :</w:t>
      </w:r>
      <w:r/>
    </w:p>
    <w:p>
      <w:pPr>
        <w:pStyle w:val="Normal"/>
        <w:jc w:val="both"/>
        <w:rPr>
          <w:sz w:val="28"/>
          <w:sz w:val="28"/>
          <w:szCs w:val="28"/>
          <w:bCs/>
          <w:rFonts w:ascii="Arial" w:hAnsi="Arial" w:eastAsia="Times New Roman" w:cs="Arial"/>
          <w:color w:val="00000A"/>
          <w:lang w:val="fr-FR" w:eastAsia="ar-SA" w:bidi="ar-SA"/>
        </w:rPr>
      </w:pPr>
      <w:r>
        <w:rPr>
          <w:rFonts w:eastAsia="Times New Roman" w:cs="Arial" w:ascii="Arial" w:hAnsi="Arial"/>
          <w:bCs/>
          <w:color w:val="00000A"/>
          <w:sz w:val="28"/>
          <w:szCs w:val="28"/>
          <w:lang w:val="fr-FR" w:eastAsia="ar-SA" w:bidi="ar-SA"/>
        </w:rPr>
      </w:r>
      <w:r/>
    </w:p>
    <w:p>
      <w:pPr>
        <w:pStyle w:val="Normal"/>
        <w:jc w:val="both"/>
        <w:rPr>
          <w:bCs/>
          <w:rFonts w:ascii="Arial" w:hAnsi="Arial" w:cs="Arial"/>
          <w:color w:val="00000A"/>
        </w:rPr>
      </w:pPr>
      <w:r>
        <w:rPr>
          <w:rFonts w:cs="Arial" w:ascii="Arial" w:hAnsi="Arial"/>
          <w:bCs/>
          <w:color w:val="00000A"/>
        </w:rPr>
        <w:t>Nous mettons à la disposition de la compagnie:</w:t>
      </w:r>
      <w:r/>
    </w:p>
    <w:p>
      <w:pPr>
        <w:pStyle w:val="Normal"/>
        <w:jc w:val="both"/>
        <w:rPr>
          <w:bCs/>
          <w:rFonts w:ascii="Arial" w:hAnsi="Arial" w:cs="Arial"/>
          <w:color w:val="00000A"/>
        </w:rPr>
      </w:pPr>
      <w:r>
        <w:rPr>
          <w:rFonts w:cs="Arial" w:ascii="Arial" w:hAnsi="Arial"/>
          <w:bCs/>
          <w:color w:val="00000A"/>
        </w:rPr>
        <w:t>- des locaux pour travailler ainsi que l’hébergement en gîte pour la durée de la résidence.</w:t>
      </w:r>
      <w:r/>
    </w:p>
    <w:p>
      <w:pPr>
        <w:pStyle w:val="Normal"/>
        <w:jc w:val="both"/>
        <w:rPr>
          <w:bCs/>
          <w:rFonts w:ascii="Arial" w:hAnsi="Arial" w:cs="Arial"/>
          <w:color w:val="00000A"/>
        </w:rPr>
      </w:pPr>
      <w:r>
        <w:rPr>
          <w:rFonts w:cs="Arial" w:ascii="Arial" w:hAnsi="Arial"/>
          <w:bCs/>
          <w:color w:val="00000A"/>
        </w:rPr>
        <w:t>- un accompagnement logistique et administratif par des personnels qualifiés de la commune (régisseur général et 2 techniciens).</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bCs/>
          <w:rFonts w:ascii="Arial" w:hAnsi="Arial" w:cs="Arial"/>
          <w:color w:val="00000A"/>
          <w:lang w:val="en-GB"/>
        </w:rPr>
      </w:pPr>
      <w:r>
        <w:rPr>
          <w:rFonts w:cs="Arial" w:ascii="Arial" w:hAnsi="Arial"/>
          <w:bCs/>
          <w:color w:val="00000A"/>
        </w:rPr>
        <w:t>La résidence comprend un temps de création réservé aux artistes (70% du temps global) et un temps de rencontre (30% du temps restant) avec les publics sous forme d’ateliers qui visent à développer l</w:t>
      </w:r>
      <w:r>
        <w:rPr>
          <w:rFonts w:cs="Arial" w:ascii="Arial" w:hAnsi="Arial"/>
          <w:bCs/>
          <w:color w:val="00000A"/>
          <w:lang w:val="en-GB"/>
        </w:rPr>
        <w:t>’ouverture d’esprit, la bienveillance mutuelle, l’estime de soi, la confiance entre adultes et jeunes et le respect entre filles et garçons.</w:t>
      </w:r>
      <w:r/>
    </w:p>
    <w:p>
      <w:pPr>
        <w:pStyle w:val="Normal"/>
        <w:jc w:val="both"/>
        <w:rPr>
          <w:sz w:val="24"/>
          <w:sz w:val="24"/>
          <w:szCs w:val="24"/>
          <w:bCs/>
          <w:rFonts w:ascii="Arial" w:hAnsi="Arial" w:eastAsia="Times New Roman" w:cs="Arial"/>
          <w:color w:val="00000A"/>
          <w:lang w:val="en-GB" w:eastAsia="ar-SA" w:bidi="ar-SA"/>
        </w:rPr>
      </w:pPr>
      <w:r>
        <w:rPr>
          <w:rFonts w:eastAsia="Times New Roman" w:cs="Arial" w:ascii="Arial" w:hAnsi="Arial"/>
          <w:bCs/>
          <w:color w:val="00000A"/>
          <w:sz w:val="24"/>
          <w:szCs w:val="24"/>
          <w:lang w:val="en-GB" w:eastAsia="ar-SA" w:bidi="ar-SA"/>
        </w:rPr>
      </w:r>
      <w:r/>
    </w:p>
    <w:p>
      <w:pPr>
        <w:pStyle w:val="Normal"/>
        <w:jc w:val="both"/>
        <w:rPr>
          <w:bCs/>
          <w:rFonts w:ascii="Arial" w:hAnsi="Arial" w:cs="Arial"/>
          <w:color w:val="00000A"/>
        </w:rPr>
      </w:pPr>
      <w:r>
        <w:rPr>
          <w:rFonts w:cs="Arial" w:ascii="Arial" w:hAnsi="Arial"/>
          <w:bCs/>
          <w:color w:val="00000A"/>
          <w:lang w:val="en-GB"/>
        </w:rPr>
        <w:t xml:space="preserve">Ces ateliers seront </w:t>
      </w:r>
      <w:r>
        <w:rPr>
          <w:rFonts w:cs="Arial" w:ascii="Arial" w:hAnsi="Arial"/>
          <w:bCs/>
          <w:color w:val="00000A"/>
        </w:rPr>
        <w:t>à destination de populations ciblées et identifiées par le périmètre politique de la ville du contrat de ville 2016-2020 : écoles, collèges, maison de retraite, centre de loisirs, centre social, foyer des jeunes travailleurs et foyer d’adultes handicapés.</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bCs/>
          <w:rFonts w:ascii="Arial" w:hAnsi="Arial" w:cs="Arial"/>
          <w:color w:val="00000A"/>
        </w:rPr>
      </w:pPr>
      <w:r>
        <w:rPr>
          <w:rFonts w:cs="Arial" w:ascii="Arial" w:hAnsi="Arial"/>
          <w:bCs/>
          <w:color w:val="00000A"/>
        </w:rPr>
        <w:t>Ces ateliers et ces rencontres pourront être mis en place sur les différents sites d’accueil (les lieux culturels majeurs et les lieux culturels partenaires – centre social, MJC, cirque Pistil, cinéma Vertigo, etc) ou au sein des écoles, des collèges, de la maison de retraite... D’autres manifestations se déroulant sur le territoire seront susceptibles d’être ciblées par les artistes leur permettant d’aller à la rencontre d’autres publics.</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bCs/>
          <w:rFonts w:ascii="Arial" w:hAnsi="Arial" w:cs="Arial"/>
          <w:color w:val="00000A"/>
        </w:rPr>
      </w:pPr>
      <w:r>
        <w:rPr>
          <w:rFonts w:cs="Arial" w:ascii="Arial" w:hAnsi="Arial"/>
          <w:bCs/>
          <w:color w:val="00000A"/>
        </w:rPr>
        <w:t>A ce titre, les ateliers programmés devront se répartir de la façon suivante :</w:t>
      </w:r>
      <w:r/>
    </w:p>
    <w:p>
      <w:pPr>
        <w:pStyle w:val="Normal"/>
        <w:jc w:val="both"/>
        <w:rPr>
          <w:bCs/>
          <w:rFonts w:ascii="Arial" w:hAnsi="Arial" w:cs="Arial"/>
          <w:color w:val="00000A"/>
        </w:rPr>
      </w:pPr>
      <w:r>
        <w:rPr>
          <w:rFonts w:cs="Arial" w:ascii="Arial" w:hAnsi="Arial"/>
          <w:bCs/>
          <w:color w:val="00000A"/>
        </w:rPr>
        <w:t>Les différents ateliers et rencontres seront répartis selon les différents lieux partenaires.</w:t>
      </w:r>
      <w:r/>
    </w:p>
    <w:p>
      <w:pPr>
        <w:pStyle w:val="Normal"/>
        <w:jc w:val="both"/>
        <w:rPr>
          <w:bCs/>
          <w:rFonts w:ascii="Arial" w:hAnsi="Arial" w:cs="Arial"/>
          <w:color w:val="00000A"/>
        </w:rPr>
      </w:pPr>
      <w:r>
        <w:rPr>
          <w:rFonts w:cs="Arial" w:ascii="Arial" w:hAnsi="Arial"/>
          <w:bCs/>
          <w:color w:val="00000A"/>
        </w:rPr>
        <w:t xml:space="preserve">Ils pourront se clôturer par une (ou plusieurs) représentation(s) de votre démarche : restitution finale à la fois de la création personnelle de la compagnie et de celle menée avec les publics y compris si possible sur des sites patrimoniaux insolites. </w:t>
      </w:r>
      <w:r/>
    </w:p>
    <w:p>
      <w:pPr>
        <w:pStyle w:val="Normal"/>
        <w:jc w:val="both"/>
        <w:rPr>
          <w:bCs/>
          <w:rFonts w:ascii="Arial" w:hAnsi="Arial" w:cs="Arial"/>
          <w:color w:val="00000A"/>
        </w:rPr>
      </w:pPr>
      <w:r>
        <w:rPr>
          <w:rFonts w:cs="Arial" w:ascii="Arial" w:hAnsi="Arial"/>
          <w:bCs/>
          <w:color w:val="00000A"/>
        </w:rPr>
        <w:t>Une trace matérielle des travaux menés en atelier est souhaitée.</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pPr>
      <w:r>
        <w:rPr>
          <w:rFonts w:cs="Arial" w:ascii="Arial" w:hAnsi="Arial"/>
          <w:bCs/>
          <w:color w:val="00000A"/>
        </w:rPr>
        <w:t>La résidence devra débuter à l’hiver 2016 (rencontre avec les partenaires et début des ateliers à partir de la mi-décembre) et pourra se terminer idéalement le 2 juin 2017.</w:t>
      </w:r>
      <w:r/>
    </w:p>
    <w:p>
      <w:pPr>
        <w:pStyle w:val="Normal"/>
        <w:jc w:val="both"/>
        <w:rPr>
          <w:sz w:val="24"/>
          <w:sz w:val="24"/>
          <w:szCs w:val="24"/>
          <w:bCs/>
          <w:rFonts w:ascii="Arial" w:hAnsi="Arial" w:eastAsia="Times New Roman" w:cs="Arial"/>
          <w:color w:val="FF3333"/>
          <w:lang w:val="fr-FR" w:eastAsia="ar-SA" w:bidi="ar-SA"/>
        </w:rPr>
      </w:pPr>
      <w:r>
        <w:rPr>
          <w:rFonts w:eastAsia="Times New Roman" w:cs="Arial" w:ascii="Arial" w:hAnsi="Arial"/>
          <w:bCs/>
          <w:color w:val="FF3333"/>
          <w:sz w:val="24"/>
          <w:szCs w:val="24"/>
          <w:lang w:val="fr-FR" w:eastAsia="ar-SA" w:bidi="ar-SA"/>
        </w:rPr>
      </w:r>
      <w:r/>
    </w:p>
    <w:p>
      <w:pPr>
        <w:pStyle w:val="Normal"/>
        <w:jc w:val="both"/>
        <w:rPr>
          <w:sz w:val="28"/>
          <w:u w:val="single"/>
          <w:b/>
          <w:sz w:val="28"/>
          <w:b/>
          <w:szCs w:val="28"/>
          <w:bCs/>
          <w:rFonts w:ascii="Arial" w:hAnsi="Arial" w:cs="Arial"/>
          <w:color w:val="00000A"/>
        </w:rPr>
      </w:pPr>
      <w:r>
        <w:rPr>
          <w:rFonts w:cs="Arial" w:ascii="Arial" w:hAnsi="Arial"/>
          <w:b/>
          <w:bCs/>
          <w:color w:val="00000A"/>
          <w:sz w:val="28"/>
          <w:szCs w:val="28"/>
          <w:u w:val="single"/>
        </w:rPr>
        <w:t>Le projet de création :</w:t>
      </w:r>
      <w:r/>
    </w:p>
    <w:p>
      <w:pPr>
        <w:pStyle w:val="Normal"/>
        <w:jc w:val="both"/>
        <w:rPr>
          <w:sz w:val="24"/>
          <w:sz w:val="24"/>
          <w:szCs w:val="24"/>
          <w:rFonts w:ascii="Times New Roman" w:hAnsi="Times New Roman"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color w:val="00000A"/>
        </w:rPr>
      </w:pPr>
      <w:r>
        <w:rPr>
          <w:color w:val="00000A"/>
          <w:sz w:val="24"/>
          <w:szCs w:val="24"/>
        </w:rPr>
        <w:t>Le cirque comme moyen d’approcher, de comprendre et de prendre du plaisir à la fois à la posture de spectateur mais aussi à la pratique d’une discipline artistique : Découverte de l’histoire du/des territoires au travers d’interprétations circassiennes originales, découverte de l’histoire du cirque pour mieux appréhender le cirque actuel et ses différentes composantes, découverte de la relation à au public dans la/les restitutions.</w:t>
      </w:r>
      <w:r/>
    </w:p>
    <w:p>
      <w:pPr>
        <w:pStyle w:val="Parag01"/>
        <w:spacing w:lineRule="exact" w:line="280"/>
      </w:pPr>
      <w:r>
        <w:rPr>
          <w:color w:val="00000A"/>
          <w:sz w:val="24"/>
          <w:szCs w:val="24"/>
        </w:rPr>
        <w:t>Nous attirons l’attention des artistes sur la nécessité de tenir compte et d’être en cohérence avec les thèmes portés par les partenaires. A savoir : la tolérance, l’éducation, le respect, la reconnaissance de l’autre, la confiance. Ce travail circassien doit être aussi une autre lecture du patrimoine permettant au public une autre approche différente de l'histoire tant personnelle que collective (histoire vivante et dynamique).</w:t>
      </w:r>
      <w:r/>
    </w:p>
    <w:p>
      <w:pPr>
        <w:pStyle w:val="Parag01"/>
        <w:spacing w:lineRule="exact" w:line="280"/>
      </w:pPr>
      <w:r>
        <w:rPr>
          <w:color w:val="00000A"/>
          <w:sz w:val="24"/>
          <w:szCs w:val="24"/>
        </w:rPr>
        <w:t>Le cirque permettra de toucher différents publics, de par la culture populaire qu’il véhicule mais également grâce aux passerelles qu’il peut construire entre les générations, les catégories socio-professionnelles, le monde du sport et de la culture et les disciplines artistiques multiples.</w:t>
      </w:r>
      <w:r/>
    </w:p>
    <w:p>
      <w:pPr>
        <w:pStyle w:val="Parag01"/>
        <w:spacing w:lineRule="exact" w:line="280"/>
      </w:pPr>
      <w:r>
        <w:rPr>
          <w:sz w:val="24"/>
          <w:szCs w:val="24"/>
        </w:rPr>
        <w:t>Les artistes retenus devront s’appuyer sur l’histoire et les traditions locales, les valeurs portées par le territoire, pour proposer une vision basée sur une démarche contemporaine dans la création, la restitution et la diffusion.</w:t>
      </w:r>
      <w:r/>
    </w:p>
    <w:p>
      <w:pPr>
        <w:pStyle w:val="Parag01"/>
        <w:spacing w:lineRule="exact" w:line="280"/>
        <w:rPr>
          <w:sz w:val="28"/>
          <w:u w:val="single"/>
          <w:sz w:val="28"/>
          <w:szCs w:val="28"/>
        </w:rPr>
      </w:pPr>
      <w:r>
        <w:rPr>
          <w:b/>
          <w:sz w:val="28"/>
          <w:szCs w:val="28"/>
          <w:u w:val="single"/>
        </w:rPr>
        <w:t>Nos attentes </w:t>
      </w:r>
      <w:r>
        <w:rPr>
          <w:sz w:val="28"/>
          <w:szCs w:val="28"/>
          <w:u w:val="single"/>
        </w:rPr>
        <w:t>:</w:t>
      </w:r>
      <w:r/>
    </w:p>
    <w:p>
      <w:pPr>
        <w:pStyle w:val="Parag01"/>
        <w:spacing w:lineRule="exact" w:line="280"/>
        <w:rPr>
          <w:sz w:val="24"/>
          <w:sz w:val="24"/>
          <w:szCs w:val="24"/>
        </w:rPr>
      </w:pPr>
      <w:r>
        <w:rPr>
          <w:sz w:val="24"/>
          <w:szCs w:val="24"/>
        </w:rPr>
        <w:t>Développer la dynamique de territoire engagée depuis des années dans le domaine du Cirque notamment.</w:t>
      </w:r>
      <w:r/>
    </w:p>
    <w:p>
      <w:pPr>
        <w:pStyle w:val="Parag01"/>
        <w:spacing w:lineRule="exact" w:line="280"/>
        <w:rPr>
          <w:sz w:val="24"/>
          <w:sz w:val="24"/>
          <w:szCs w:val="24"/>
        </w:rPr>
      </w:pPr>
      <w:r>
        <w:rPr>
          <w:sz w:val="24"/>
          <w:szCs w:val="24"/>
        </w:rPr>
        <w:t>Apporter une plus-value culturelle pour le territoire</w:t>
      </w:r>
      <w:r/>
    </w:p>
    <w:p>
      <w:pPr>
        <w:pStyle w:val="Parag01"/>
        <w:spacing w:lineRule="exact" w:line="280"/>
        <w:rPr>
          <w:sz w:val="24"/>
          <w:sz w:val="24"/>
          <w:szCs w:val="24"/>
        </w:rPr>
      </w:pPr>
      <w:r>
        <w:rPr>
          <w:sz w:val="24"/>
          <w:szCs w:val="24"/>
        </w:rPr>
        <w:t>Développer une démarche culturelle et éducative en particulier auprès des enfants, des jeunes, des personnes âgées, et des publics spécifiques (personnes âgées, handicapées…)</w:t>
      </w:r>
      <w:r/>
    </w:p>
    <w:p>
      <w:pPr>
        <w:pStyle w:val="Parag01"/>
        <w:spacing w:lineRule="exact" w:line="280"/>
        <w:rPr>
          <w:sz w:val="24"/>
          <w:sz w:val="24"/>
          <w:szCs w:val="24"/>
        </w:rPr>
      </w:pPr>
      <w:r>
        <w:rPr>
          <w:sz w:val="24"/>
          <w:szCs w:val="24"/>
        </w:rPr>
        <w:t>Engendrer une reconnaissance et une appropriation des outils culturels du territoire par les habitants.</w:t>
      </w:r>
      <w:r/>
    </w:p>
    <w:p>
      <w:pPr>
        <w:pStyle w:val="Parag01"/>
        <w:spacing w:lineRule="exact" w:line="280"/>
        <w:rPr>
          <w:sz w:val="24"/>
          <w:sz w:val="24"/>
          <w:szCs w:val="24"/>
        </w:rPr>
      </w:pPr>
      <w:r>
        <w:rPr>
          <w:sz w:val="24"/>
          <w:szCs w:val="24"/>
        </w:rPr>
        <w:t>Poursuivre l’ouverture vers différents champs artistiques.</w:t>
      </w:r>
      <w:r/>
    </w:p>
    <w:p>
      <w:pPr>
        <w:pStyle w:val="Normal"/>
        <w:jc w:val="both"/>
        <w:rPr>
          <w:sz w:val="28"/>
          <w:u w:val="single"/>
          <w:b/>
          <w:sz w:val="28"/>
          <w:b/>
          <w:szCs w:val="28"/>
          <w:bCs/>
          <w:rFonts w:ascii="Arial" w:hAnsi="Arial" w:eastAsia="Times New Roman" w:cs="Arial"/>
          <w:color w:val="00000A"/>
          <w:lang w:val="fr-FR" w:eastAsia="ar-SA" w:bidi="ar-SA"/>
        </w:rPr>
      </w:pPr>
      <w:r>
        <w:rPr>
          <w:rFonts w:eastAsia="Times New Roman" w:cs="Arial" w:ascii="Arial" w:hAnsi="Arial"/>
          <w:b/>
          <w:bCs/>
          <w:color w:val="00000A"/>
          <w:sz w:val="28"/>
          <w:szCs w:val="28"/>
          <w:u w:val="single"/>
          <w:lang w:val="fr-FR" w:eastAsia="ar-SA" w:bidi="ar-SA"/>
        </w:rPr>
      </w:r>
      <w:r/>
    </w:p>
    <w:p>
      <w:pPr>
        <w:pStyle w:val="Normal"/>
        <w:jc w:val="both"/>
        <w:rPr>
          <w:sz w:val="28"/>
          <w:u w:val="single"/>
          <w:b/>
          <w:sz w:val="28"/>
          <w:b/>
          <w:szCs w:val="28"/>
          <w:bCs/>
          <w:rFonts w:ascii="Arial" w:hAnsi="Arial" w:cs="Arial"/>
        </w:rPr>
      </w:pPr>
      <w:r>
        <w:rPr>
          <w:rFonts w:cs="Arial" w:ascii="Arial" w:hAnsi="Arial"/>
          <w:b/>
          <w:bCs/>
          <w:sz w:val="28"/>
          <w:szCs w:val="28"/>
          <w:u w:val="single"/>
        </w:rPr>
        <w:t>Son financement :</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rPr>
          <w:bCs/>
          <w:rFonts w:ascii="Arial" w:hAnsi="Arial" w:cs="Arial"/>
        </w:rPr>
      </w:pPr>
      <w:r>
        <w:rPr>
          <w:rFonts w:cs="Arial" w:ascii="Arial" w:hAnsi="Arial"/>
          <w:bCs/>
        </w:rPr>
        <w:t>Cette résidence de médiation aura une durée de trois mois (en fonction de votre agenda, il est attendu des semaines de présence sur place, alternant avec des semaines de pause), dans le cadre d’une enveloppe financière maximum de 18 000 € répartie selon les interventions réalisées entre les différents opérateurs incluant transports et repas (véhicule indispensable). Logement en gîte.</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jc w:val="both"/>
      </w:pPr>
      <w:r>
        <w:rPr>
          <w:rFonts w:cs="Arial" w:ascii="Arial" w:hAnsi="Arial"/>
          <w:bCs/>
        </w:rPr>
        <w:t>Une seule compagnie sera retenue</w:t>
      </w:r>
      <w:r/>
    </w:p>
    <w:p>
      <w:pPr>
        <w:pStyle w:val="Normal"/>
        <w:jc w:val="both"/>
        <w:rPr>
          <w:sz w:val="24"/>
          <w:sz w:val="24"/>
          <w:szCs w:val="24"/>
          <w:bCs/>
          <w:rFonts w:ascii="Arial" w:hAnsi="Arial" w:eastAsia="Times New Roman" w:cs="Arial"/>
          <w:color w:val="00000A"/>
          <w:lang w:val="fr-FR" w:eastAsia="ar-SA" w:bidi="ar-SA"/>
        </w:rPr>
      </w:pPr>
      <w:r>
        <w:rPr>
          <w:rFonts w:cs="Arial" w:ascii="Arial" w:hAnsi="Arial"/>
          <w:bCs/>
        </w:rPr>
      </w:r>
      <w:r/>
    </w:p>
    <w:p>
      <w:pPr>
        <w:pStyle w:val="Normal"/>
        <w:jc w:val="both"/>
      </w:pPr>
      <w:r>
        <w:rPr>
          <w:rFonts w:cs="Arial" w:ascii="Arial" w:hAnsi="Arial"/>
          <w:bCs/>
        </w:rPr>
        <w:t>le dossier doit être adressé par voie postale à :</w:t>
      </w:r>
      <w:r/>
    </w:p>
    <w:p>
      <w:pPr>
        <w:pStyle w:val="Normal"/>
        <w:jc w:val="both"/>
        <w:rPr>
          <w:sz w:val="24"/>
          <w:sz w:val="24"/>
          <w:szCs w:val="24"/>
          <w:bCs/>
          <w:rFonts w:ascii="Arial" w:hAnsi="Arial" w:eastAsia="Times New Roman" w:cs="Arial"/>
          <w:color w:val="00000A"/>
          <w:lang w:val="fr-FR" w:eastAsia="ar-SA" w:bidi="ar-SA"/>
        </w:rPr>
      </w:pPr>
      <w:r>
        <w:rPr>
          <w:rFonts w:cs="Arial" w:ascii="Arial" w:hAnsi="Arial"/>
          <w:bCs/>
        </w:rPr>
      </w:r>
      <w:r/>
    </w:p>
    <w:p>
      <w:pPr>
        <w:pStyle w:val="Normal"/>
        <w:jc w:val="center"/>
      </w:pPr>
      <w:r>
        <w:rPr>
          <w:rFonts w:cs="Arial" w:ascii="Arial" w:hAnsi="Arial"/>
          <w:bCs/>
        </w:rPr>
        <w:t xml:space="preserve">Monsieur Vincent Portal </w:t>
      </w:r>
      <w:r/>
    </w:p>
    <w:p>
      <w:pPr>
        <w:pStyle w:val="Normal"/>
        <w:jc w:val="center"/>
      </w:pPr>
      <w:r>
        <w:rPr>
          <w:rFonts w:cs="Arial" w:ascii="Arial" w:hAnsi="Arial"/>
          <w:bCs/>
        </w:rPr>
        <w:t>Service Culture/ Tourisme</w:t>
      </w:r>
      <w:r/>
    </w:p>
    <w:p>
      <w:pPr>
        <w:pStyle w:val="Normal"/>
        <w:jc w:val="center"/>
      </w:pPr>
      <w:r>
        <w:rPr>
          <w:rFonts w:cs="Arial" w:ascii="Arial" w:hAnsi="Arial"/>
          <w:bCs/>
        </w:rPr>
        <w:t>Ville de Graulhet</w:t>
      </w:r>
      <w:r/>
    </w:p>
    <w:p>
      <w:pPr>
        <w:pStyle w:val="Normal"/>
        <w:jc w:val="center"/>
      </w:pPr>
      <w:r>
        <w:rPr>
          <w:rFonts w:cs="Arial" w:ascii="Arial" w:hAnsi="Arial"/>
          <w:bCs/>
        </w:rPr>
        <w:t xml:space="preserve">Place Elie Théophile </w:t>
      </w:r>
      <w:r/>
    </w:p>
    <w:p>
      <w:pPr>
        <w:pStyle w:val="Normal"/>
        <w:jc w:val="center"/>
      </w:pPr>
      <w:r>
        <w:rPr>
          <w:rFonts w:cs="Arial" w:ascii="Arial" w:hAnsi="Arial"/>
          <w:bCs/>
        </w:rPr>
        <w:t>81 300 Graulhet</w:t>
      </w:r>
      <w:r/>
    </w:p>
    <w:p>
      <w:pPr>
        <w:pStyle w:val="Normal"/>
        <w:jc w:val="center"/>
        <w:rPr>
          <w:sz w:val="24"/>
          <w:sz w:val="24"/>
          <w:szCs w:val="24"/>
          <w:bCs/>
          <w:rFonts w:ascii="Arial" w:hAnsi="Arial" w:eastAsia="Times New Roman" w:cs="Arial"/>
          <w:color w:val="00000A"/>
          <w:lang w:val="fr-FR" w:eastAsia="ar-SA" w:bidi="ar-SA"/>
        </w:rPr>
      </w:pPr>
      <w:r>
        <w:rPr>
          <w:rFonts w:cs="Arial" w:ascii="Arial" w:hAnsi="Arial"/>
          <w:bCs/>
        </w:rPr>
      </w:r>
      <w:r/>
    </w:p>
    <w:p>
      <w:pPr>
        <w:pStyle w:val="Normal"/>
        <w:jc w:val="both"/>
        <w:rPr>
          <w:bCs/>
          <w:rFonts w:ascii="Arial" w:hAnsi="Arial" w:cs="Arial"/>
        </w:rPr>
      </w:pPr>
      <w:r>
        <w:rPr>
          <w:rFonts w:cs="Arial" w:ascii="Arial" w:hAnsi="Arial"/>
          <w:bCs/>
        </w:rPr>
        <w:t>Date limite du dépôt de candidature 15 novembre 2016</w:t>
      </w:r>
      <w:r/>
    </w:p>
    <w:p>
      <w:pPr>
        <w:pStyle w:val="Normal"/>
        <w:jc w:val="both"/>
        <w:rPr>
          <w:bCs/>
          <w:rFonts w:ascii="Arial" w:hAnsi="Arial" w:cs="Arial"/>
        </w:rPr>
      </w:pPr>
      <w:r>
        <w:rPr>
          <w:rFonts w:cs="Arial" w:ascii="Arial" w:hAnsi="Arial"/>
          <w:bCs/>
        </w:rPr>
        <w:t xml:space="preserve">Réponse à l’appel d’offre fin novembre </w:t>
      </w:r>
      <w:bookmarkStart w:id="0" w:name="_GoBack"/>
      <w:bookmarkEnd w:id="0"/>
      <w:r>
        <w:rPr>
          <w:rFonts w:cs="Arial" w:ascii="Arial" w:hAnsi="Arial"/>
          <w:bCs/>
        </w:rPr>
        <w:t>2016.</w:t>
      </w:r>
      <w:r/>
    </w:p>
    <w:p>
      <w:pPr>
        <w:pStyle w:val="Normal"/>
        <w:jc w:val="both"/>
        <w:rPr>
          <w:sz w:val="24"/>
          <w:sz w:val="24"/>
          <w:szCs w:val="24"/>
          <w:bCs/>
          <w:rFonts w:ascii="Arial" w:hAnsi="Arial" w:eastAsia="Times New Roman" w:cs="Arial"/>
          <w:color w:val="00000A"/>
          <w:lang w:val="fr-FR" w:eastAsia="ar-SA" w:bidi="ar-SA"/>
        </w:rPr>
      </w:pPr>
      <w:r>
        <w:rPr>
          <w:rFonts w:eastAsia="Times New Roman" w:cs="Arial" w:ascii="Arial" w:hAnsi="Arial"/>
          <w:bCs/>
          <w:color w:val="00000A"/>
          <w:sz w:val="24"/>
          <w:szCs w:val="24"/>
          <w:lang w:val="fr-FR" w:eastAsia="ar-SA" w:bidi="ar-SA"/>
        </w:rPr>
      </w:r>
      <w:r/>
    </w:p>
    <w:p>
      <w:pPr>
        <w:pStyle w:val="Normal"/>
        <w:pBdr>
          <w:bottom w:val="single" w:sz="4" w:space="0" w:color="000001"/>
        </w:pBdr>
        <w:rPr>
          <w:sz w:val="34"/>
          <w:b/>
          <w:sz w:val="34"/>
          <w:b/>
          <w:szCs w:val="34"/>
          <w:bCs/>
        </w:rPr>
      </w:pPr>
      <w:r>
        <w:rPr>
          <w:b/>
          <w:bCs/>
          <w:sz w:val="34"/>
          <w:szCs w:val="34"/>
        </w:rPr>
        <w:t xml:space="preserve">I - Fiche de présentation </w:t>
      </w:r>
      <w:r/>
    </w:p>
    <w:p>
      <w:pPr>
        <w:pStyle w:val="Normal"/>
        <w:rPr>
          <w:sz w:val="34"/>
          <w:b/>
          <w:sz w:val="34"/>
          <w:b/>
          <w:szCs w:val="34"/>
          <w:bCs/>
          <w:rFonts w:ascii="Times New Roman" w:hAnsi="Times New Roman" w:eastAsia="Times New Roman" w:cs="Times New Roman"/>
          <w:color w:val="00000A"/>
          <w:lang w:val="fr-FR" w:eastAsia="ar-SA" w:bidi="ar-SA"/>
        </w:rPr>
      </w:pPr>
      <w:r>
        <w:rPr>
          <w:rFonts w:eastAsia="Times New Roman" w:cs="Times New Roman"/>
          <w:b/>
          <w:bCs/>
          <w:color w:val="00000A"/>
          <w:sz w:val="34"/>
          <w:szCs w:val="34"/>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bl>
      <w:tblPr>
        <w:tblW w:w="9296" w:type="dxa"/>
        <w:jc w:val="left"/>
        <w:tblInd w:w="-25" w:type="dxa"/>
        <w:tblBorders>
          <w:top w:val="single" w:sz="4" w:space="0" w:color="000001"/>
          <w:left w:val="single" w:sz="4" w:space="0" w:color="000001"/>
          <w:bottom w:val="single" w:sz="4" w:space="0" w:color="000001"/>
          <w:insideH w:val="single" w:sz="4" w:space="0" w:color="000001"/>
        </w:tblBorders>
        <w:tblCellMar>
          <w:top w:w="0" w:type="dxa"/>
          <w:left w:w="83" w:type="dxa"/>
          <w:bottom w:w="0" w:type="dxa"/>
          <w:right w:w="108" w:type="dxa"/>
        </w:tblCellMar>
      </w:tblPr>
      <w:tblGrid>
        <w:gridCol w:w="4693"/>
        <w:gridCol w:w="4602"/>
      </w:tblGrid>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Nom de la Compagnie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Numéro de licence d’entrepreneur de spectacles, date et lieu d’obtention</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 xml:space="preserve">Titre du projet </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Contact artistique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Contact administratif (pour les questions liées au budget, aux contrats etc.)</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Adresse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Code postal</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Ville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Pays / région</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Téléphone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Fax</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rPr>
            </w:pPr>
            <w:r>
              <w:rPr>
                <w:sz w:val="28"/>
                <w:szCs w:val="28"/>
              </w:rPr>
              <w:t>Portable</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lang w:val="en-GB"/>
              </w:rPr>
            </w:pPr>
            <w:r>
              <w:rPr>
                <w:sz w:val="28"/>
                <w:szCs w:val="28"/>
                <w:lang w:val="en-GB"/>
              </w:rPr>
              <w:t>Courriel</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rHeight w:val="851" w:hRule="atLeast"/>
        </w:trPr>
        <w:tc>
          <w:tcPr>
            <w:tcW w:w="4693" w:type="dxa"/>
            <w:tcBorders>
              <w:top w:val="single" w:sz="4" w:space="0" w:color="000001"/>
              <w:left w:val="single" w:sz="4" w:space="0" w:color="000001"/>
              <w:bottom w:val="single" w:sz="4" w:space="0" w:color="000001"/>
              <w:insideH w:val="single" w:sz="4" w:space="0" w:color="000001"/>
            </w:tcBorders>
            <w:shd w:color="auto" w:fill="FFFFFF" w:val="clear"/>
            <w:tcMar>
              <w:left w:w="83" w:type="dxa"/>
            </w:tcMar>
            <w:vAlign w:val="center"/>
          </w:tcPr>
          <w:p>
            <w:pPr>
              <w:pStyle w:val="Normal"/>
              <w:rPr>
                <w:sz w:val="28"/>
                <w:sz w:val="28"/>
                <w:szCs w:val="28"/>
                <w:lang w:val="en-GB"/>
              </w:rPr>
            </w:pPr>
            <w:r>
              <w:rPr>
                <w:sz w:val="28"/>
                <w:szCs w:val="28"/>
                <w:lang w:val="en-GB"/>
              </w:rPr>
              <w:t>Site web</w:t>
            </w:r>
            <w:r/>
          </w:p>
        </w:tc>
        <w:tc>
          <w:tcPr>
            <w:tcW w:w="46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83" w:type="dxa"/>
            </w:tcMar>
            <w:vAlign w:val="cente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bl>
    <w:p>
      <w:pPr>
        <w:pStyle w:val="Normal"/>
        <w:pBdr>
          <w:bottom w:val="single" w:sz="4" w:space="0" w:color="000001"/>
        </w:pBdr>
        <w:rPr>
          <w:sz w:val="34"/>
          <w:b/>
          <w:sz w:val="34"/>
          <w:b/>
          <w:szCs w:val="34"/>
          <w:bCs/>
          <w:rFonts w:ascii="Times New Roman" w:hAnsi="Times New Roman" w:eastAsia="Times New Roman" w:cs="Times New Roman"/>
          <w:color w:val="00000A"/>
          <w:lang w:val="fr-FR" w:eastAsia="ar-SA" w:bidi="ar-SA"/>
        </w:rPr>
      </w:pPr>
      <w:r>
        <w:rPr>
          <w:rFonts w:eastAsia="Times New Roman" w:cs="Times New Roman"/>
          <w:b/>
          <w:bCs/>
          <w:color w:val="00000A"/>
          <w:sz w:val="34"/>
          <w:szCs w:val="34"/>
          <w:lang w:val="fr-FR" w:eastAsia="ar-SA" w:bidi="ar-SA"/>
        </w:rPr>
      </w:r>
      <w:r/>
    </w:p>
    <w:p>
      <w:pPr>
        <w:pStyle w:val="Normal"/>
        <w:pBdr>
          <w:bottom w:val="single" w:sz="4" w:space="0" w:color="000001"/>
        </w:pBdr>
        <w:rPr>
          <w:sz w:val="34"/>
          <w:b/>
          <w:sz w:val="34"/>
          <w:b/>
          <w:szCs w:val="34"/>
          <w:bCs/>
          <w:rFonts w:ascii="Times New Roman" w:hAnsi="Times New Roman" w:eastAsia="Times New Roman" w:cs="Times New Roman"/>
          <w:color w:val="00000A"/>
          <w:lang w:val="fr-FR" w:eastAsia="ar-SA" w:bidi="ar-SA"/>
        </w:rPr>
      </w:pPr>
      <w:r>
        <w:rPr>
          <w:rFonts w:eastAsia="Times New Roman" w:cs="Times New Roman"/>
          <w:b/>
          <w:bCs/>
          <w:color w:val="00000A"/>
          <w:sz w:val="34"/>
          <w:szCs w:val="34"/>
          <w:lang w:val="fr-FR" w:eastAsia="ar-SA" w:bidi="ar-SA"/>
        </w:rPr>
      </w:r>
      <w:r/>
    </w:p>
    <w:p>
      <w:pPr>
        <w:pStyle w:val="Normal"/>
        <w:pBdr>
          <w:bottom w:val="single" w:sz="4" w:space="0" w:color="000001"/>
        </w:pBdr>
        <w:rPr>
          <w:sz w:val="34"/>
          <w:b/>
          <w:sz w:val="34"/>
          <w:b/>
          <w:szCs w:val="34"/>
          <w:bCs/>
        </w:rPr>
      </w:pPr>
      <w:r>
        <w:rPr>
          <w:b/>
          <w:bCs/>
          <w:sz w:val="34"/>
          <w:szCs w:val="34"/>
        </w:rPr>
        <w:t>II - LA COMPAGNIE ET SON PROJET</w:t>
      </w:r>
      <w:r/>
    </w:p>
    <w:p>
      <w:pPr>
        <w:pStyle w:val="Normal"/>
        <w:rPr>
          <w:sz w:val="22"/>
          <w:b/>
          <w:sz w:val="22"/>
          <w:b/>
          <w:szCs w:val="22"/>
          <w:bCs/>
          <w:rFonts w:ascii="Times New Roman" w:hAnsi="Times New Roman" w:eastAsia="Times New Roman" w:cs="Times New Roman"/>
          <w:color w:val="00000A"/>
          <w:lang w:val="fr-FR" w:eastAsia="ar-SA" w:bidi="ar-SA"/>
        </w:rPr>
      </w:pPr>
      <w:r>
        <w:rPr>
          <w:rFonts w:eastAsia="Times New Roman" w:cs="Times New Roman"/>
          <w:b/>
          <w:bCs/>
          <w:color w:val="00000A"/>
          <w:sz w:val="22"/>
          <w:szCs w:val="22"/>
          <w:lang w:val="fr-FR" w:eastAsia="ar-SA" w:bidi="ar-SA"/>
        </w:rPr>
      </w:r>
      <w:r/>
    </w:p>
    <w:p>
      <w:pPr>
        <w:pStyle w:val="Normal"/>
        <w:numPr>
          <w:ilvl w:val="0"/>
          <w:numId w:val="2"/>
        </w:numPr>
        <w:rPr>
          <w:u w:val="single"/>
        </w:rPr>
      </w:pPr>
      <w:r>
        <w:rPr>
          <w:u w:val="single"/>
        </w:rPr>
        <w:t>PRÉSENTATION DE LA CIE :</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CV DES ARTISTES INTERVENANTS :</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PRÉSENTATION SYNTHÉTIQUE DU PROJET :</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jc w:val="both"/>
        <w:rPr>
          <w:u w:val="single"/>
        </w:rPr>
      </w:pPr>
      <w:r>
        <w:rPr>
          <w:u w:val="single"/>
        </w:rPr>
        <w:t xml:space="preserve">DISCIPLINES ARTISTIQUES MISES EN ŒUVRE  ET MODALITES </w:t>
      </w:r>
      <w:r/>
    </w:p>
    <w:p>
      <w:pPr>
        <w:pStyle w:val="Normal"/>
        <w:ind w:left="720" w:hanging="0"/>
        <w:jc w:val="both"/>
        <w:rPr>
          <w:u w:val="single"/>
        </w:rPr>
      </w:pPr>
      <w:r>
        <w:rPr>
          <w:u w:val="single"/>
        </w:rPr>
        <w:t>(dimension pluridisciplinaire du projet) :</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RELATIONS ENTRE VOTRE PROJET, LE PUBLIC ET LE PROJET CULTUREL DU TERRITOIRE</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rPr>
        <w:t xml:space="preserve">Explicitez pour chaque type de public le type de médiations et d'actions prévues : </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RELATION À L’ESPACE DE REPRÉSENTATION (inscription du projet dans le contexte rural)</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BUDGET PRÉVISIONNEL ET PARTENAIRES ENVISAGÉS</w:t>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bl>
      <w:tblPr>
        <w:tblW w:w="9220" w:type="dxa"/>
        <w:jc w:val="left"/>
        <w:tblInd w:w="-25" w:type="dxa"/>
        <w:tblBorders>
          <w:top w:val="single" w:sz="4" w:space="0" w:color="000001"/>
          <w:left w:val="single" w:sz="4" w:space="0" w:color="000001"/>
          <w:bottom w:val="single" w:sz="4" w:space="0" w:color="000001"/>
          <w:insideH w:val="single" w:sz="4" w:space="0" w:color="000001"/>
        </w:tblBorders>
        <w:tblCellMar>
          <w:top w:w="0" w:type="dxa"/>
          <w:left w:w="45" w:type="dxa"/>
          <w:bottom w:w="0" w:type="dxa"/>
          <w:right w:w="70" w:type="dxa"/>
        </w:tblCellMar>
      </w:tblPr>
      <w:tblGrid>
        <w:gridCol w:w="2298"/>
        <w:gridCol w:w="2301"/>
        <w:gridCol w:w="2302"/>
        <w:gridCol w:w="2318"/>
      </w:tblGrid>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jc w:val="center"/>
              <w:rPr>
                <w:sz w:val="22"/>
                <w:sz w:val="22"/>
                <w:szCs w:val="22"/>
              </w:rPr>
            </w:pPr>
            <w:r>
              <w:rPr>
                <w:sz w:val="22"/>
                <w:szCs w:val="22"/>
              </w:rPr>
              <w:t>Charges</w:t>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jc w:val="center"/>
              <w:rPr>
                <w:sz w:val="22"/>
                <w:sz w:val="22"/>
                <w:szCs w:val="22"/>
              </w:rPr>
            </w:pPr>
            <w:r>
              <w:rPr>
                <w:sz w:val="22"/>
                <w:szCs w:val="22"/>
              </w:rPr>
              <w:t>Montants</w:t>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jc w:val="center"/>
              <w:rPr>
                <w:sz w:val="22"/>
                <w:sz w:val="22"/>
                <w:szCs w:val="22"/>
              </w:rPr>
            </w:pPr>
            <w:r>
              <w:rPr>
                <w:sz w:val="22"/>
                <w:szCs w:val="22"/>
              </w:rPr>
              <w:t>Produits</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jc w:val="center"/>
              <w:rPr>
                <w:sz w:val="22"/>
                <w:sz w:val="22"/>
                <w:szCs w:val="22"/>
              </w:rPr>
            </w:pPr>
            <w:r>
              <w:rPr>
                <w:sz w:val="22"/>
                <w:szCs w:val="22"/>
              </w:rPr>
              <w:t>Montants</w:t>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Pr>
            </w:pPr>
            <w:r>
              <w:rPr>
                <w:sz w:val="22"/>
                <w:szCs w:val="22"/>
              </w:rPr>
              <w:t>Autofinancement</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Pr>
            </w:pPr>
            <w:r>
              <w:rPr>
                <w:sz w:val="22"/>
                <w:szCs w:val="22"/>
              </w:rPr>
              <w:t>Subventions (préciser)</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Pr>
            </w:pPr>
            <w:r>
              <w:rPr>
                <w:sz w:val="22"/>
                <w:szCs w:val="22"/>
              </w:rPr>
              <w:t>Partenaires</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Pr>
            </w:pPr>
            <w:r>
              <w:rPr>
                <w:sz w:val="22"/>
                <w:szCs w:val="22"/>
              </w:rPr>
              <w:t>Diffusions envisagées</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Pr>
            </w:pPr>
            <w:r>
              <w:rPr>
                <w:sz w:val="22"/>
                <w:szCs w:val="22"/>
              </w:rPr>
              <w:t>Aide à la résidence</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jc w:val="center"/>
              <w:rPr>
                <w:sz w:val="22"/>
                <w:sz w:val="22"/>
                <w:szCs w:val="22"/>
              </w:rPr>
            </w:pPr>
            <w:r>
              <w:rPr>
                <w:sz w:val="22"/>
                <w:szCs w:val="22"/>
              </w:rPr>
              <w:t>18 000€</w:t>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r>
        <w:trPr/>
        <w:tc>
          <w:tcPr>
            <w:tcW w:w="2298"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b/>
                <w:sz w:val="22"/>
                <w:b/>
                <w:szCs w:val="22"/>
                <w:bCs/>
              </w:rPr>
            </w:pPr>
            <w:r>
              <w:rPr>
                <w:b/>
                <w:bCs/>
                <w:sz w:val="22"/>
                <w:szCs w:val="22"/>
              </w:rPr>
              <w:t>TOTAL CHARGES</w:t>
            </w:r>
            <w:r/>
          </w:p>
        </w:tc>
        <w:tc>
          <w:tcPr>
            <w:tcW w:w="2301"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b/>
                <w:sz w:val="22"/>
                <w:b/>
                <w:szCs w:val="22"/>
                <w:bCs/>
                <w:rFonts w:ascii="Times New Roman" w:hAnsi="Times New Roman" w:eastAsia="Times New Roman" w:cs="Times New Roman"/>
                <w:color w:val="00000A"/>
                <w:lang w:val="fr-FR" w:eastAsia="ar-SA" w:bidi="ar-SA"/>
              </w:rPr>
            </w:pPr>
            <w:r>
              <w:rPr>
                <w:rFonts w:eastAsia="Times New Roman" w:cs="Times New Roman"/>
                <w:b/>
                <w:bCs/>
                <w:color w:val="00000A"/>
                <w:sz w:val="22"/>
                <w:szCs w:val="22"/>
                <w:lang w:val="fr-FR" w:eastAsia="ar-SA" w:bidi="ar-SA"/>
              </w:rPr>
            </w:r>
            <w:r/>
          </w:p>
        </w:tc>
        <w:tc>
          <w:tcPr>
            <w:tcW w:w="2302" w:type="dxa"/>
            <w:tcBorders>
              <w:top w:val="single" w:sz="4" w:space="0" w:color="000001"/>
              <w:left w:val="single" w:sz="4" w:space="0" w:color="000001"/>
              <w:bottom w:val="single" w:sz="4" w:space="0" w:color="000001"/>
              <w:insideH w:val="single" w:sz="4" w:space="0" w:color="000001"/>
            </w:tcBorders>
            <w:shd w:color="auto" w:fill="FFFFFF" w:val="clear"/>
            <w:tcMar>
              <w:left w:w="45" w:type="dxa"/>
            </w:tcMar>
          </w:tcPr>
          <w:p>
            <w:pPr>
              <w:pStyle w:val="Normal"/>
              <w:rPr>
                <w:sz w:val="22"/>
                <w:b/>
                <w:sz w:val="22"/>
                <w:b/>
                <w:szCs w:val="22"/>
                <w:bCs/>
              </w:rPr>
            </w:pPr>
            <w:r>
              <w:rPr>
                <w:b/>
                <w:bCs/>
                <w:sz w:val="22"/>
                <w:szCs w:val="22"/>
              </w:rPr>
              <w:t>TOTAL PRODUITS</w:t>
            </w:r>
            <w:r/>
          </w:p>
        </w:tc>
        <w:tc>
          <w:tcPr>
            <w:tcW w:w="23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45" w:type="dxa"/>
            </w:tcMar>
          </w:tcPr>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tc>
      </w:tr>
    </w:tbl>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rPr>
          <w:sz w:val="22"/>
          <w:sz w:val="22"/>
          <w:szCs w:val="22"/>
          <w:rFonts w:ascii="Times New Roman" w:hAnsi="Times New Roman" w:eastAsia="Times New Roman" w:cs="Times New Roman"/>
          <w:color w:val="00000A"/>
          <w:lang w:val="fr-FR" w:eastAsia="ar-SA" w:bidi="ar-SA"/>
        </w:rPr>
      </w:pPr>
      <w:r>
        <w:rPr>
          <w:rFonts w:eastAsia="Times New Roman" w:cs="Times New Roman"/>
          <w:color w:val="00000A"/>
          <w:sz w:val="22"/>
          <w:szCs w:val="22"/>
          <w:lang w:val="fr-FR" w:eastAsia="ar-SA" w:bidi="ar-SA"/>
        </w:rPr>
      </w:r>
      <w:r/>
    </w:p>
    <w:p>
      <w:pPr>
        <w:pStyle w:val="Normal"/>
        <w:numPr>
          <w:ilvl w:val="0"/>
          <w:numId w:val="2"/>
        </w:numPr>
        <w:rPr>
          <w:u w:val="single"/>
        </w:rPr>
      </w:pPr>
      <w:r>
        <w:rPr>
          <w:u w:val="single"/>
        </w:rPr>
        <w:t>CALENDRIER DE CRÉATION PRÉVISIONNEL ET/OU PÉRIODES DE RÉSIDENCES SOUHAITÉS</w:t>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30"/>
          <w:b/>
          <w:sz w:val="30"/>
          <w:b/>
          <w:szCs w:val="30"/>
          <w:bCs/>
          <w:rFonts w:ascii="Times New Roman" w:hAnsi="Times New Roman" w:eastAsia="Times New Roman" w:cs="Times New Roman"/>
          <w:color w:val="00000A"/>
          <w:lang w:val="fr-FR" w:eastAsia="ar-SA" w:bidi="ar-SA"/>
        </w:rPr>
      </w:pPr>
      <w:r>
        <w:rPr>
          <w:rFonts w:eastAsia="Times New Roman" w:cs="Times New Roman"/>
          <w:b/>
          <w:bCs/>
          <w:color w:val="00000A"/>
          <w:sz w:val="30"/>
          <w:szCs w:val="30"/>
          <w:lang w:val="fr-FR" w:eastAsia="ar-SA" w:bidi="ar-SA"/>
        </w:rPr>
      </w:r>
      <w:r/>
    </w:p>
    <w:p>
      <w:pPr>
        <w:pStyle w:val="Normal"/>
        <w:rPr>
          <w:sz w:val="28"/>
          <w:b/>
          <w:sz w:val="28"/>
          <w:b/>
          <w:szCs w:val="28"/>
          <w:rFonts w:ascii="Arial" w:hAnsi="Arial" w:cs="Arial"/>
        </w:rPr>
      </w:pPr>
      <w:r>
        <w:rPr>
          <w:rFonts w:cs="Arial" w:ascii="Arial" w:hAnsi="Arial"/>
          <w:b/>
          <w:sz w:val="28"/>
          <w:szCs w:val="28"/>
        </w:rPr>
        <w:t>Présentation de la ville</w:t>
      </w:r>
      <w:r/>
    </w:p>
    <w:p>
      <w:pPr>
        <w:pStyle w:val="Normal"/>
        <w:rPr>
          <w:sz w:val="28"/>
          <w:b/>
          <w:sz w:val="28"/>
          <w:b/>
          <w:szCs w:val="28"/>
          <w:rFonts w:ascii="Times New Roman" w:hAnsi="Times New Roman" w:eastAsia="Times New Roman" w:cs="Times New Roman"/>
          <w:color w:val="00000A"/>
          <w:lang w:val="fr-FR" w:eastAsia="ar-SA" w:bidi="ar-SA"/>
        </w:rPr>
      </w:pPr>
      <w:r>
        <w:rPr>
          <w:rFonts w:eastAsia="Times New Roman" w:cs="Times New Roman"/>
          <w:b/>
          <w:color w:val="00000A"/>
          <w:sz w:val="28"/>
          <w:szCs w:val="28"/>
          <w:lang w:val="fr-FR" w:eastAsia="ar-SA" w:bidi="ar-SA"/>
        </w:rPr>
      </w:r>
      <w:r/>
    </w:p>
    <w:p>
      <w:pPr>
        <w:pStyle w:val="Normal"/>
        <w:rPr>
          <w:sz w:val="28"/>
          <w:b/>
          <w:sz w:val="28"/>
          <w:b/>
          <w:szCs w:val="28"/>
          <w:rFonts w:ascii="Times New Roman" w:hAnsi="Times New Roman" w:eastAsia="Times New Roman" w:cs="Times New Roman"/>
          <w:color w:val="00000A"/>
          <w:lang w:val="fr-FR" w:eastAsia="ar-SA" w:bidi="ar-SA"/>
        </w:rPr>
      </w:pPr>
      <w:r>
        <w:rPr>
          <w:rFonts w:eastAsia="Times New Roman" w:cs="Times New Roman"/>
          <w:b/>
          <w:color w:val="00000A"/>
          <w:sz w:val="28"/>
          <w:szCs w:val="28"/>
          <w:lang w:val="fr-FR" w:eastAsia="ar-SA" w:bidi="ar-SA"/>
        </w:rPr>
      </w:r>
      <w:r/>
    </w:p>
    <w:p>
      <w:pPr>
        <w:pStyle w:val="Normal"/>
        <w:jc w:val="both"/>
        <w:rPr>
          <w:iCs/>
          <w:bCs/>
          <w:rFonts w:ascii="Arial" w:hAnsi="Arial"/>
          <w:color w:val="00000A"/>
        </w:rPr>
      </w:pPr>
      <w:r>
        <w:rPr>
          <w:rFonts w:ascii="Arial" w:hAnsi="Arial"/>
          <w:bCs/>
          <w:color w:val="00000A"/>
        </w:rPr>
        <w:t xml:space="preserve">La ville de Graulhet compte 11800 habitants, située dans le département du Tarn en région Languedoc Roussillon Midi-Pyrénées, ses habitants sont appelés graulhétois. Son nom vient de l’occitan </w:t>
      </w:r>
      <w:r>
        <w:rPr>
          <w:rFonts w:ascii="Arial" w:hAnsi="Arial"/>
          <w:bCs/>
          <w:iCs/>
          <w:color w:val="00000A"/>
        </w:rPr>
        <w:t>granolha (grenouille), à</w:t>
      </w:r>
      <w:r>
        <w:rPr>
          <w:rFonts w:ascii="Arial" w:hAnsi="Arial"/>
          <w:bCs/>
          <w:i/>
          <w:iCs/>
          <w:color w:val="00000A"/>
        </w:rPr>
        <w:t xml:space="preserve"> </w:t>
      </w:r>
      <w:r>
        <w:rPr>
          <w:rFonts w:ascii="Arial" w:hAnsi="Arial"/>
          <w:bCs/>
          <w:iCs/>
          <w:color w:val="00000A"/>
        </w:rPr>
        <w:t>cause de la plaine marécageuse sur laquelle s’est bâtie la ville.</w:t>
      </w:r>
      <w:r/>
    </w:p>
    <w:p>
      <w:pPr>
        <w:pStyle w:val="Normal"/>
        <w:jc w:val="both"/>
        <w:rPr>
          <w:sz w:val="24"/>
          <w:sz w:val="24"/>
          <w:szCs w:val="24"/>
          <w:iCs/>
          <w:bCs/>
          <w:rFonts w:ascii="Arial" w:hAnsi="Arial" w:eastAsia="Times New Roman" w:cs="Times New Roman"/>
          <w:color w:val="00000A"/>
          <w:lang w:val="fr-FR" w:eastAsia="ar-SA" w:bidi="ar-SA"/>
        </w:rPr>
      </w:pPr>
      <w:r>
        <w:rPr>
          <w:rFonts w:eastAsia="Times New Roman" w:cs="Times New Roman" w:ascii="Arial" w:hAnsi="Arial"/>
          <w:bCs/>
          <w:iCs/>
          <w:color w:val="00000A"/>
          <w:sz w:val="24"/>
          <w:szCs w:val="24"/>
          <w:lang w:val="fr-FR" w:eastAsia="ar-SA" w:bidi="ar-SA"/>
        </w:rPr>
      </w:r>
      <w:r/>
    </w:p>
    <w:p>
      <w:pPr>
        <w:pStyle w:val="Normal"/>
        <w:jc w:val="both"/>
        <w:rPr>
          <w:iCs/>
          <w:bCs/>
          <w:rFonts w:ascii="Arial" w:hAnsi="Arial"/>
          <w:color w:val="00000A"/>
        </w:rPr>
      </w:pPr>
      <w:r>
        <w:rPr>
          <w:rFonts w:ascii="Arial" w:hAnsi="Arial"/>
          <w:bCs/>
          <w:iCs/>
          <w:color w:val="00000A"/>
        </w:rPr>
        <w:t>Son passé industriel basé sur la mégisserie (le tannage de petites peaux) en ont fait sa fortune et son déclin. Sa rivière Dadou, son ruisseau le Verdaussou longtemps exploités par les industries du cuir sont aujourd’hui redevenus le poumon vert de la ville, ses lacs, son patrimoine architectural, ses projets et la valeur de ses femmes et de ses hommes sont une véritable richesse.</w:t>
      </w:r>
      <w:r/>
    </w:p>
    <w:p>
      <w:pPr>
        <w:pStyle w:val="Normal"/>
        <w:jc w:val="both"/>
        <w:rPr>
          <w:sz w:val="24"/>
          <w:sz w:val="24"/>
          <w:szCs w:val="24"/>
          <w:iCs/>
          <w:bCs/>
          <w:rFonts w:ascii="Arial" w:hAnsi="Arial" w:eastAsia="Times New Roman" w:cs="Times New Roman"/>
          <w:color w:val="00000A"/>
          <w:lang w:val="fr-FR" w:eastAsia="ar-SA" w:bidi="ar-SA"/>
        </w:rPr>
      </w:pPr>
      <w:r>
        <w:rPr>
          <w:rFonts w:eastAsia="Times New Roman" w:cs="Times New Roman" w:ascii="Arial" w:hAnsi="Arial"/>
          <w:bCs/>
          <w:iCs/>
          <w:color w:val="00000A"/>
          <w:sz w:val="24"/>
          <w:szCs w:val="24"/>
          <w:lang w:val="fr-FR" w:eastAsia="ar-SA" w:bidi="ar-SA"/>
        </w:rPr>
      </w:r>
      <w:r/>
    </w:p>
    <w:p>
      <w:pPr>
        <w:pStyle w:val="Normal"/>
        <w:jc w:val="both"/>
        <w:rPr>
          <w:iCs/>
          <w:bCs/>
          <w:rFonts w:ascii="Arial" w:hAnsi="Arial"/>
          <w:color w:val="00000A"/>
        </w:rPr>
      </w:pPr>
      <w:r>
        <w:rPr>
          <w:rFonts w:ascii="Arial" w:hAnsi="Arial"/>
          <w:bCs/>
          <w:iCs/>
          <w:color w:val="00000A"/>
        </w:rPr>
        <w:t>Plantés sur les berges du Dadou, les friches industrielles (166 usines recensées) ne seront bientôt plus considérés comme les stigmates du passé car elles offrent de nouveaux équipements pour les habitants et pour les nombreux artistes installés.</w:t>
      </w:r>
      <w:r/>
    </w:p>
    <w:p>
      <w:pPr>
        <w:pStyle w:val="Normal"/>
        <w:jc w:val="both"/>
        <w:rPr>
          <w:sz w:val="24"/>
          <w:sz w:val="24"/>
          <w:szCs w:val="24"/>
          <w:iCs/>
          <w:bCs/>
          <w:rFonts w:ascii="Arial" w:hAnsi="Arial" w:eastAsia="Times New Roman" w:cs="Times New Roman"/>
          <w:color w:val="00000A"/>
          <w:lang w:val="fr-FR" w:eastAsia="ar-SA" w:bidi="ar-SA"/>
        </w:rPr>
      </w:pPr>
      <w:r>
        <w:rPr>
          <w:rFonts w:eastAsia="Times New Roman" w:cs="Times New Roman" w:ascii="Arial" w:hAnsi="Arial"/>
          <w:bCs/>
          <w:iCs/>
          <w:color w:val="00000A"/>
          <w:sz w:val="24"/>
          <w:szCs w:val="24"/>
          <w:lang w:val="fr-FR" w:eastAsia="ar-SA" w:bidi="ar-SA"/>
        </w:rPr>
      </w:r>
      <w:r/>
    </w:p>
    <w:p>
      <w:pPr>
        <w:pStyle w:val="Normal"/>
        <w:jc w:val="both"/>
        <w:rPr>
          <w:iCs/>
          <w:bCs/>
          <w:rFonts w:ascii="Arial" w:hAnsi="Arial"/>
          <w:color w:val="00000A"/>
        </w:rPr>
      </w:pPr>
      <w:r>
        <w:rPr>
          <w:rFonts w:ascii="Arial" w:hAnsi="Arial"/>
          <w:bCs/>
          <w:iCs/>
          <w:color w:val="00000A"/>
        </w:rPr>
        <w:t>Graulhet mérite d’être connue et reconnue !</w:t>
      </w:r>
      <w:r/>
    </w:p>
    <w:p>
      <w:pPr>
        <w:pStyle w:val="Normal"/>
        <w:jc w:val="both"/>
        <w:rPr>
          <w:iCs/>
          <w:bCs/>
          <w:rFonts w:ascii="Arial" w:hAnsi="Arial"/>
          <w:color w:val="00000A"/>
        </w:rPr>
      </w:pPr>
      <w:r>
        <w:rPr>
          <w:rFonts w:ascii="Arial" w:hAnsi="Arial"/>
          <w:bCs/>
          <w:iCs/>
          <w:color w:val="00000A"/>
        </w:rPr>
        <w:t>Pour exemple, en 2010, la région a remis à la ville le trophée régional pour son projet de traitement des friches industrielles et de reconquête de sa rivière.</w:t>
      </w:r>
      <w:r/>
    </w:p>
    <w:p>
      <w:pPr>
        <w:pStyle w:val="Normal"/>
        <w:jc w:val="both"/>
        <w:rPr>
          <w:iCs/>
          <w:bCs/>
          <w:rFonts w:ascii="Arial" w:hAnsi="Arial"/>
          <w:color w:val="00000A"/>
        </w:rPr>
      </w:pPr>
      <w:r>
        <w:rPr>
          <w:rFonts w:ascii="Arial" w:hAnsi="Arial"/>
          <w:bCs/>
          <w:iCs/>
          <w:color w:val="00000A"/>
        </w:rPr>
        <w:t>Fin 2014, Graulhet a reçu le prix INP innov dans la catégorie environnement pour son projet unique en France consistant à dépolluer les sols avec des plantes.</w:t>
      </w:r>
      <w:r/>
    </w:p>
    <w:p>
      <w:pPr>
        <w:pStyle w:val="Normal"/>
        <w:jc w:val="both"/>
        <w:rPr>
          <w:iCs/>
          <w:bCs/>
          <w:rFonts w:ascii="Arial" w:hAnsi="Arial"/>
          <w:color w:val="00000A"/>
        </w:rPr>
      </w:pPr>
      <w:r>
        <w:rPr>
          <w:rFonts w:ascii="Arial" w:hAnsi="Arial"/>
          <w:bCs/>
          <w:iCs/>
          <w:color w:val="00000A"/>
        </w:rPr>
        <w:t>En décembre 2014, les résidences du Parc ont reçu le label Écoquartier récompensant tous les efforts menés en matière de développement durable.</w:t>
      </w:r>
      <w:r/>
    </w:p>
    <w:p>
      <w:pPr>
        <w:pStyle w:val="Normal"/>
        <w:jc w:val="both"/>
        <w:rPr>
          <w:iCs/>
          <w:bCs/>
          <w:rFonts w:ascii="Arial" w:hAnsi="Arial"/>
          <w:color w:val="00000A"/>
        </w:rPr>
      </w:pPr>
      <w:r>
        <w:rPr>
          <w:rFonts w:ascii="Arial" w:hAnsi="Arial"/>
          <w:bCs/>
          <w:iCs/>
          <w:color w:val="00000A"/>
        </w:rPr>
        <w:t>Son nouveau jardin public, dessiné par Arnaud Maurières, paysagiste de renom, est un nouvel espace ouvert pour les rencontres en bord de rivière.</w:t>
      </w:r>
      <w:r/>
    </w:p>
    <w:p>
      <w:pPr>
        <w:pStyle w:val="Parag01"/>
        <w:spacing w:lineRule="exact" w:line="280"/>
        <w:rPr>
          <w:sz w:val="24"/>
          <w:sz w:val="24"/>
          <w:szCs w:val="24"/>
          <w:color w:val="00000A"/>
        </w:rPr>
      </w:pPr>
      <w:r>
        <w:rPr>
          <w:color w:val="00000A"/>
          <w:sz w:val="24"/>
          <w:szCs w:val="24"/>
        </w:rPr>
        <w:t>Sur le volet économique, la ville compte de belles entreprises sur son territoire, leaders dans leur domaine : le groupe Weishardt, 4</w:t>
      </w:r>
      <w:r>
        <w:rPr>
          <w:color w:val="00000A"/>
          <w:sz w:val="24"/>
          <w:szCs w:val="24"/>
          <w:vertAlign w:val="superscript"/>
        </w:rPr>
        <w:t>e</w:t>
      </w:r>
      <w:r>
        <w:rPr>
          <w:color w:val="00000A"/>
          <w:sz w:val="24"/>
          <w:szCs w:val="24"/>
        </w:rPr>
        <w:t xml:space="preserve"> producteur mondial de gélatines traditionnelles, KP1 pour le batiment et Escourbiac l’imprimeur qui a décroché en 2014 son 3</w:t>
      </w:r>
      <w:r>
        <w:rPr>
          <w:color w:val="00000A"/>
          <w:sz w:val="24"/>
          <w:szCs w:val="24"/>
          <w:vertAlign w:val="superscript"/>
        </w:rPr>
        <w:t>e</w:t>
      </w:r>
      <w:r>
        <w:rPr>
          <w:color w:val="00000A"/>
          <w:sz w:val="24"/>
          <w:szCs w:val="24"/>
        </w:rPr>
        <w:t xml:space="preserve"> cadrat d’or, le prix le plus glorieux dans l’imprimerie.</w:t>
      </w:r>
      <w:r/>
    </w:p>
    <w:p>
      <w:pPr>
        <w:pStyle w:val="Parag01"/>
        <w:spacing w:lineRule="exact" w:line="280"/>
        <w:rPr>
          <w:sz w:val="24"/>
          <w:sz w:val="24"/>
          <w:szCs w:val="24"/>
          <w:color w:val="00000A"/>
        </w:rPr>
      </w:pPr>
      <w:r>
        <w:rPr>
          <w:color w:val="00000A"/>
          <w:sz w:val="24"/>
          <w:szCs w:val="24"/>
        </w:rPr>
        <w:t>Le cuir n’est pas en reste avec des entreprises à la pointe, dans le stretch cuir notamment, la présence de l’un des derniers parcheminiers de France ou encore des maroquiniers confectionnant des articles pour de grandes marques.</w:t>
      </w:r>
      <w:r/>
    </w:p>
    <w:p>
      <w:pPr>
        <w:pStyle w:val="Parag01"/>
        <w:spacing w:lineRule="exact" w:line="280"/>
        <w:rPr>
          <w:sz w:val="24"/>
          <w:sz w:val="24"/>
          <w:szCs w:val="24"/>
          <w:color w:val="00000A"/>
        </w:rPr>
      </w:pPr>
      <w:r>
        <w:rPr>
          <w:color w:val="00000A"/>
          <w:sz w:val="24"/>
          <w:szCs w:val="24"/>
        </w:rPr>
        <w:t>Pour finir, la ville de Graulhet est dotée de nombreux équipements sportifs et de loisirs : la base de loisirs de Nabeillou (lac, escalade, vtt, pêche, rando) pour les sports de plein air, la plaine des sports de la Jonquière (9 terrains de foot-rugby), complexe Pelissou (tennis, rugby, gymnastique, basket, hand-ball, boxe, judo), centre nautique (2 bassins - 50m et 25m), stade de l’Estarié, city stade, lac de Miquelou (rando, pêche, parcours santé), site de la Bousquetarié qui accueille diverses manifestations de grande ampleur (fête du cheval, spectacle historique, foire Bio).</w:t>
      </w:r>
      <w:r/>
    </w:p>
    <w:p>
      <w:pPr>
        <w:pStyle w:val="Parag01"/>
        <w:spacing w:lineRule="exact" w:line="280"/>
        <w:rPr>
          <w:sz w:val="24"/>
          <w:sz w:val="24"/>
          <w:szCs w:val="24"/>
          <w:rFonts w:ascii="Arial" w:hAnsi="Arial" w:eastAsia="Times New Roman" w:cs="Times New Roman"/>
          <w:color w:val="FF0000"/>
          <w:lang w:val="fr-FR" w:eastAsia="ar-SA" w:bidi="ar-SA"/>
        </w:rPr>
      </w:pPr>
      <w:r>
        <w:rPr>
          <w:rFonts w:eastAsia="Times New Roman" w:cs="Times New Roman"/>
          <w:color w:val="FF0000"/>
          <w:sz w:val="24"/>
          <w:szCs w:val="24"/>
          <w:lang w:val="fr-FR" w:eastAsia="ar-SA" w:bidi="ar-SA"/>
        </w:rPr>
      </w:r>
      <w:r/>
    </w:p>
    <w:p>
      <w:pPr>
        <w:pStyle w:val="Parag01"/>
        <w:spacing w:lineRule="exact" w:line="280"/>
        <w:rPr>
          <w:sz w:val="24"/>
          <w:sz w:val="24"/>
          <w:szCs w:val="24"/>
          <w:color w:val="00000A"/>
        </w:rPr>
      </w:pPr>
      <w:r>
        <w:rPr>
          <w:color w:val="00000A"/>
          <w:sz w:val="24"/>
          <w:szCs w:val="24"/>
        </w:rPr>
        <w:t>Toutefois ce territoire doit poursuivre son effort pour se doter d’hébergements et conforter les lieux d’accueil du public qu’ils soient liés à la culture, comme la Maison des métiers du cuir ou les salles de spectacles du Forum et de l’Auditorium, ou à l’environnement et à la vie locale.</w:t>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cs="Arial"/>
        </w:rPr>
      </w:pPr>
      <w:r>
        <w:rPr>
          <w:rFonts w:cs="Arial"/>
          <w:sz w:val="24"/>
          <w:szCs w:val="24"/>
        </w:rPr>
        <w:t>A noter : évolution du périmètre intercommunal à partir du 1</w:t>
      </w:r>
      <w:r>
        <w:rPr>
          <w:rFonts w:cs="Arial"/>
          <w:sz w:val="24"/>
          <w:szCs w:val="24"/>
          <w:vertAlign w:val="superscript"/>
        </w:rPr>
        <w:t>er</w:t>
      </w:r>
      <w:r>
        <w:rPr>
          <w:rFonts w:cs="Arial"/>
          <w:sz w:val="24"/>
          <w:szCs w:val="24"/>
        </w:rPr>
        <w:t xml:space="preserve"> janvier 2017 ; des élus et des structures culturelles des actuelles Communautés de Communes Tarn &amp; Dadou</w:t>
      </w:r>
      <w:r>
        <w:rPr>
          <w:rFonts w:cs="Arial"/>
          <w:i/>
          <w:iCs/>
          <w:color w:val="FF3333"/>
          <w:sz w:val="24"/>
          <w:szCs w:val="24"/>
        </w:rPr>
        <w:t xml:space="preserve"> </w:t>
      </w:r>
      <w:r>
        <w:rPr>
          <w:rFonts w:cs="Arial"/>
          <w:i/>
          <w:iCs/>
          <w:sz w:val="24"/>
          <w:szCs w:val="24"/>
        </w:rPr>
        <w:t>Rabastinois et Vère Grésigne – Pays Salvagnacois</w:t>
      </w:r>
      <w:r>
        <w:rPr>
          <w:rFonts w:cs="Arial"/>
          <w:sz w:val="24"/>
          <w:szCs w:val="24"/>
        </w:rPr>
        <w:t xml:space="preserve"> pourront être associés aux réflexions sur le projet et une ou deux interventions des artistes pourraient être programmées sur leur territoire.</w:t>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8"/>
          <w:b/>
          <w:sz w:val="28"/>
          <w:b/>
          <w:szCs w:val="28"/>
        </w:rPr>
      </w:pPr>
      <w:r>
        <w:rPr>
          <w:b/>
          <w:sz w:val="28"/>
          <w:szCs w:val="28"/>
        </w:rPr>
        <w:t>La vie culturelle de Graulhet</w:t>
      </w:r>
      <w:r/>
    </w:p>
    <w:p>
      <w:pPr>
        <w:pStyle w:val="Parag01"/>
        <w:spacing w:lineRule="exact" w:line="280"/>
        <w:rPr>
          <w:sz w:val="28"/>
          <w:b/>
          <w:sz w:val="28"/>
          <w:b/>
          <w:szCs w:val="28"/>
          <w:rFonts w:ascii="Arial" w:hAnsi="Arial" w:eastAsia="Times New Roman" w:cs="Times New Roman"/>
          <w:color w:val="00000A"/>
          <w:lang w:val="fr-FR" w:eastAsia="ar-SA" w:bidi="ar-SA"/>
        </w:rPr>
      </w:pPr>
      <w:r>
        <w:rPr>
          <w:rFonts w:eastAsia="Times New Roman" w:cs="Times New Roman"/>
          <w:b/>
          <w:color w:val="00000A"/>
          <w:sz w:val="28"/>
          <w:szCs w:val="28"/>
          <w:lang w:val="fr-FR" w:eastAsia="ar-SA" w:bidi="ar-SA"/>
        </w:rPr>
      </w:r>
      <w:r/>
    </w:p>
    <w:p>
      <w:pPr>
        <w:pStyle w:val="Parag01"/>
        <w:spacing w:lineRule="exact" w:line="280"/>
        <w:rPr>
          <w:sz w:val="24"/>
          <w:sz w:val="24"/>
          <w:szCs w:val="24"/>
        </w:rPr>
      </w:pPr>
      <w:r>
        <w:rPr>
          <w:sz w:val="24"/>
          <w:szCs w:val="24"/>
        </w:rPr>
        <w:t>Le service culturel de la ville de Graulhet, le cinéma Vertigo et la maison des métiers du cuir sont les trois principaux acteurs culturels du territoire. Leur dynamisme, leurs projets et leur programmation attirent plusieurs milliers de visiteurs par an.</w:t>
      </w:r>
      <w:r/>
    </w:p>
    <w:p>
      <w:pPr>
        <w:pStyle w:val="Parag01"/>
        <w:spacing w:lineRule="exact" w:line="280"/>
        <w:rPr>
          <w:sz w:val="24"/>
          <w:sz w:val="24"/>
          <w:szCs w:val="24"/>
        </w:rPr>
      </w:pPr>
      <w:r>
        <w:rPr>
          <w:sz w:val="24"/>
          <w:szCs w:val="24"/>
        </w:rPr>
        <w:t>La saison culturelle de la ville de Graulhet explore de nombreux champs artistiques, le spectacle vivant est plébiscité, aussi une équipe de sept personnes dont trois techniciens qualifiés dont un régisseur général nous permet d’accueillir une trentaine de spectacles par an, d’offrir plusieurs conférences sur l’art contemporain, d’accompagner le festival des arts de la rue « Rues d’été » et le festival de cinéma « l’autre part », de participer aux journées européennes du patrimoine et aux rendez-vous aux jardins et de conseiller et d’accompagner techniquement les manifestations des associations culturelles de la ville.</w:t>
      </w:r>
      <w:r/>
    </w:p>
    <w:p>
      <w:pPr>
        <w:pStyle w:val="Parag01"/>
        <w:spacing w:lineRule="exact" w:line="280"/>
        <w:rPr>
          <w:sz w:val="24"/>
          <w:sz w:val="24"/>
          <w:szCs w:val="24"/>
          <w:color w:val="00000A"/>
        </w:rPr>
      </w:pPr>
      <w:r>
        <w:rPr>
          <w:color w:val="00000A"/>
          <w:sz w:val="24"/>
          <w:szCs w:val="24"/>
        </w:rPr>
        <w:t>De plus, la ville de Graulhet a signée une convention de partenariat avec la Scène Nationale d’Albi qui permet d’accueillir de nombreux spectacles dans le cadre de la saison « au fil du Tarn » et de programmer des spectacles de grande forme à Graulhet ou dans le grand théâtre d’Albi. Un dispositif appelé « ce soir on bouge ! » incite le public Graulhétois à se déplacer au grand théâtre d’Albi pour découvrir la vie du théâtre, ses coulisses et de finir par un spectacle exceptionnel. De même, le public scolaire peut, dans le cadre de ces déplacements, découvrir le patrimoine classé par l’UNESCO à Albi.</w:t>
      </w:r>
      <w:r/>
    </w:p>
    <w:p>
      <w:pPr>
        <w:pStyle w:val="Parag01"/>
        <w:spacing w:lineRule="exact" w:line="280"/>
        <w:rPr>
          <w:sz w:val="24"/>
          <w:sz w:val="24"/>
          <w:szCs w:val="24"/>
          <w:color w:val="00000A"/>
        </w:rPr>
      </w:pPr>
      <w:r>
        <w:rPr>
          <w:color w:val="00000A"/>
          <w:sz w:val="24"/>
          <w:szCs w:val="24"/>
        </w:rPr>
        <w:t>Le service culturel participe aux réseaux professionnels Pyramid et réseau Nord LRMP afin de partager et de mettre en commun les ressources artistiques, de même, la ville a conventionné avec l’ADDA du Tarn dans le cadre du dispositif « danse à l ‘école ».</w:t>
      </w:r>
      <w:r/>
    </w:p>
    <w:p>
      <w:pPr>
        <w:pStyle w:val="Parag01"/>
        <w:spacing w:lineRule="exact" w:line="280"/>
        <w:rPr>
          <w:sz w:val="24"/>
          <w:sz w:val="24"/>
          <w:szCs w:val="24"/>
          <w:color w:val="00000A"/>
        </w:rPr>
      </w:pPr>
      <w:r>
        <w:rPr>
          <w:color w:val="00000A"/>
          <w:sz w:val="24"/>
          <w:szCs w:val="24"/>
        </w:rPr>
        <w:t>Nous travaillons avec les écoles de la ville pour proposer aux enfants mais également au collégiens et lycéens au moins un spectacle par an et par enfant. Ceux-ci bénéficient également d’un tarif adapté aux spectacles jeune public de la saison culturelle. Nous pratiquons bien sur une politique tarifaire générale volontariste afin d’inciter le public empêché à se déplacer dans les salles de la ville.</w:t>
      </w:r>
      <w:r/>
    </w:p>
    <w:p>
      <w:pPr>
        <w:pStyle w:val="Parag01"/>
        <w:spacing w:lineRule="exact" w:line="280"/>
        <w:rPr>
          <w:sz w:val="24"/>
          <w:sz w:val="24"/>
          <w:szCs w:val="24"/>
          <w:color w:val="00000A"/>
        </w:rPr>
      </w:pPr>
      <w:r>
        <w:rPr>
          <w:color w:val="00000A"/>
          <w:sz w:val="24"/>
          <w:szCs w:val="24"/>
        </w:rPr>
        <w:t>Néanmoins, un constat a permis d’identifier plusieurs problèmes : une large part du public graulhétois ne se déplace pas vers les équipements culturels, en effet, le travail de médiation effectué par les services de la ville et les associations sous conventionnement (culture, jeunesse et réussite éducative, MJC, centre social) n’est pas à la hauteur des enjeux définis par la majorité municipale.</w:t>
      </w:r>
      <w:r/>
    </w:p>
    <w:p>
      <w:pPr>
        <w:pStyle w:val="Parag01"/>
        <w:spacing w:lineRule="exact" w:line="280"/>
        <w:rPr>
          <w:sz w:val="24"/>
          <w:sz w:val="24"/>
          <w:szCs w:val="24"/>
          <w:color w:val="00000A"/>
        </w:rPr>
      </w:pPr>
      <w:r>
        <w:rPr>
          <w:color w:val="00000A"/>
          <w:sz w:val="24"/>
          <w:szCs w:val="24"/>
        </w:rPr>
        <w:t>De plus, le vivier que constitue les professionnels du spectacle installés à Graulhet n’est pas utilisé à bon escient, il s’avère difficile de fédérer et de mobiliser, et ce malgré les rencontres et les aides consenties (aide à la création, contrat culturel local, résidences de création, programmation).</w:t>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8"/>
          <w:sz w:val="28"/>
          <w:szCs w:val="28"/>
        </w:rPr>
      </w:pPr>
      <w:r>
        <w:rPr>
          <w:sz w:val="28"/>
          <w:szCs w:val="28"/>
        </w:rPr>
        <w:t>Présentation du projet de Résidence Territoriale</w:t>
      </w:r>
      <w:r/>
    </w:p>
    <w:p>
      <w:pPr>
        <w:pStyle w:val="Parag01"/>
        <w:spacing w:lineRule="exact" w:line="280"/>
        <w:rPr>
          <w:sz w:val="24"/>
          <w:b/>
          <w:sz w:val="24"/>
          <w:b/>
          <w:szCs w:val="24"/>
        </w:rPr>
      </w:pPr>
      <w:r>
        <w:rPr>
          <w:b/>
          <w:sz w:val="24"/>
          <w:szCs w:val="24"/>
        </w:rPr>
        <w:t>Pourquoi une Résidence Territoriale sur notre ville ?</w:t>
      </w:r>
      <w:r/>
    </w:p>
    <w:p>
      <w:pPr>
        <w:pStyle w:val="Parag01"/>
        <w:spacing w:lineRule="exact" w:line="280"/>
        <w:rPr>
          <w:sz w:val="24"/>
          <w:sz w:val="24"/>
          <w:szCs w:val="24"/>
          <w:color w:val="00000A"/>
        </w:rPr>
      </w:pPr>
      <w:r>
        <w:rPr>
          <w:color w:val="00000A"/>
          <w:sz w:val="24"/>
          <w:szCs w:val="24"/>
        </w:rPr>
        <w:t>Née de la politique volontariste en matière de culture de la majorité municipale, forts du travail entrepris par le service Culture et Tourisme, la Résidence Territoriale est avant tout destinée à encourager l’accès des jeunes et des habitants aux pratiques culturelles, en s’appuyant sur les outils culturels du territoire.</w:t>
      </w:r>
      <w:r/>
    </w:p>
    <w:p>
      <w:pPr>
        <w:pStyle w:val="Parag01"/>
        <w:spacing w:lineRule="exact" w:line="280"/>
        <w:rPr>
          <w:sz w:val="24"/>
          <w:sz w:val="24"/>
          <w:szCs w:val="24"/>
          <w:color w:val="00000A"/>
        </w:rPr>
      </w:pPr>
      <w:r>
        <w:rPr>
          <w:color w:val="00000A"/>
          <w:sz w:val="24"/>
          <w:szCs w:val="24"/>
        </w:rPr>
        <w:t>Il semble important sur ce territoire industriel, fort de la présence d’acteurs culturels institutionnels et associatifs, de proposer à l’ensemble des publics des actions culturelles spécifiques par la mise en œuvre de résidences artistiques, moyens d’atteindre ces publics éloignés de l’offre culturelle pour des raisons sociales ou géographiques.</w:t>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b/>
          <w:sz w:val="24"/>
          <w:b/>
          <w:szCs w:val="24"/>
        </w:rPr>
      </w:pPr>
      <w:r>
        <w:rPr>
          <w:b/>
          <w:sz w:val="24"/>
          <w:szCs w:val="24"/>
        </w:rPr>
        <w:t xml:space="preserve">Objectifs </w:t>
      </w:r>
      <w:r/>
    </w:p>
    <w:p>
      <w:pPr>
        <w:pStyle w:val="Parag01"/>
        <w:numPr>
          <w:ilvl w:val="0"/>
          <w:numId w:val="1"/>
        </w:numPr>
        <w:spacing w:lineRule="exact" w:line="280" w:before="0" w:after="0"/>
        <w:rPr>
          <w:sz w:val="24"/>
          <w:sz w:val="24"/>
          <w:szCs w:val="24"/>
        </w:rPr>
      </w:pPr>
      <w:r>
        <w:rPr>
          <w:sz w:val="24"/>
          <w:szCs w:val="24"/>
        </w:rPr>
        <w:t>Développer la création artistique et favoriser son ouverture à différentes disciplines culturelles, scientifiques, philosophiques… afin de constituer un vivier artistique et culturel</w:t>
      </w:r>
      <w:r/>
    </w:p>
    <w:p>
      <w:pPr>
        <w:pStyle w:val="Parag01"/>
        <w:numPr>
          <w:ilvl w:val="0"/>
          <w:numId w:val="1"/>
        </w:numPr>
        <w:spacing w:lineRule="exact" w:line="280" w:before="0" w:after="0"/>
        <w:rPr>
          <w:sz w:val="24"/>
          <w:sz w:val="24"/>
          <w:szCs w:val="24"/>
        </w:rPr>
      </w:pPr>
      <w:r>
        <w:rPr>
          <w:sz w:val="24"/>
          <w:szCs w:val="24"/>
        </w:rPr>
        <w:t>Favoriser le rapport des jeunes aux pratiques culturelles et à la création, ainsi que la rencontre des artistes et des professionnels de la culture</w:t>
      </w:r>
      <w:r/>
    </w:p>
    <w:p>
      <w:pPr>
        <w:pStyle w:val="Parag01"/>
        <w:numPr>
          <w:ilvl w:val="0"/>
          <w:numId w:val="1"/>
        </w:numPr>
        <w:spacing w:lineRule="exact" w:line="280"/>
        <w:rPr>
          <w:sz w:val="24"/>
          <w:sz w:val="24"/>
          <w:szCs w:val="24"/>
        </w:rPr>
      </w:pPr>
      <w:r>
        <w:rPr>
          <w:sz w:val="24"/>
          <w:szCs w:val="24"/>
        </w:rPr>
        <w:t>Amener les parents et les adultes à la découverte et à la pratique d’activités artistiques et culturelles dont ils sont peu familiers</w:t>
      </w:r>
      <w:r/>
    </w:p>
    <w:p>
      <w:pPr>
        <w:pStyle w:val="Parag01"/>
        <w:numPr>
          <w:ilvl w:val="0"/>
          <w:numId w:val="1"/>
        </w:numPr>
        <w:spacing w:lineRule="exact" w:line="280"/>
        <w:rPr>
          <w:sz w:val="24"/>
          <w:sz w:val="24"/>
          <w:szCs w:val="24"/>
        </w:rPr>
      </w:pPr>
      <w:r>
        <w:rPr>
          <w:sz w:val="24"/>
          <w:szCs w:val="24"/>
        </w:rPr>
        <w:t xml:space="preserve">Développer un partenariat durable entre la collectivité et le milieu éducatif, le monde associatif, et les outils culturels du territoire  </w:t>
      </w:r>
      <w:r/>
    </w:p>
    <w:p>
      <w:pPr>
        <w:pStyle w:val="Parag01"/>
        <w:numPr>
          <w:ilvl w:val="0"/>
          <w:numId w:val="1"/>
        </w:numPr>
        <w:spacing w:lineRule="exact" w:line="280"/>
        <w:rPr>
          <w:sz w:val="24"/>
          <w:sz w:val="24"/>
          <w:szCs w:val="24"/>
        </w:rPr>
      </w:pPr>
      <w:r>
        <w:rPr>
          <w:sz w:val="24"/>
          <w:szCs w:val="24"/>
        </w:rPr>
        <w:t>favoriser la fréquentation des lieux de culture du territoire et encourager l’appropriation des outils culturels du territoire par ses habitants (et les ancrer durablement sur ce territoire).</w:t>
      </w:r>
      <w:r/>
    </w:p>
    <w:p>
      <w:pPr>
        <w:pStyle w:val="Parag01"/>
        <w:spacing w:lineRule="exact" w:line="280"/>
        <w:rPr>
          <w:sz w:val="24"/>
          <w:sz w:val="24"/>
          <w:szCs w:val="24"/>
          <w:color w:val="00000A"/>
        </w:rPr>
      </w:pPr>
      <w:r>
        <w:rPr>
          <w:color w:val="00000A"/>
          <w:sz w:val="24"/>
          <w:szCs w:val="24"/>
        </w:rPr>
        <w:t>Le projet de Résidence Territoriale sera inscrit dans les projets des établissements scolaires partenaires, de l’ALSH ainsi que dans les activités que proposent les associations culturelles.</w:t>
      </w:r>
      <w:r/>
    </w:p>
    <w:p>
      <w:pPr>
        <w:pStyle w:val="Parag01"/>
        <w:spacing w:lineRule="exact" w:line="280"/>
        <w:rPr>
          <w:sz w:val="24"/>
          <w:sz w:val="24"/>
          <w:szCs w:val="24"/>
          <w:rFonts w:ascii="Arial" w:hAnsi="Arial" w:eastAsia="Times New Roman" w:cs="Times New Roman"/>
          <w:color w:val="008000"/>
          <w:lang w:val="fr-FR" w:eastAsia="ar-SA" w:bidi="ar-SA"/>
        </w:rPr>
      </w:pPr>
      <w:r>
        <w:rPr>
          <w:rFonts w:eastAsia="Times New Roman" w:cs="Times New Roman"/>
          <w:color w:val="008000"/>
          <w:sz w:val="24"/>
          <w:szCs w:val="24"/>
          <w:lang w:val="fr-FR" w:eastAsia="ar-SA" w:bidi="ar-SA"/>
        </w:rPr>
      </w:r>
      <w:r/>
    </w:p>
    <w:p>
      <w:pPr>
        <w:pStyle w:val="Parag01"/>
        <w:spacing w:lineRule="exact" w:line="280"/>
        <w:rPr>
          <w:sz w:val="24"/>
          <w:sz w:val="24"/>
          <w:szCs w:val="24"/>
          <w:rFonts w:ascii="Arial" w:hAnsi="Arial" w:eastAsia="Times New Roman" w:cs="Times New Roman"/>
          <w:color w:val="008000"/>
          <w:lang w:val="fr-FR" w:eastAsia="ar-SA" w:bidi="ar-SA"/>
        </w:rPr>
      </w:pPr>
      <w:r>
        <w:rPr>
          <w:rFonts w:eastAsia="Times New Roman" w:cs="Times New Roman"/>
          <w:color w:val="008000"/>
          <w:sz w:val="24"/>
          <w:szCs w:val="24"/>
          <w:lang w:val="fr-FR" w:eastAsia="ar-SA" w:bidi="ar-SA"/>
        </w:rPr>
      </w:r>
      <w:r/>
    </w:p>
    <w:p>
      <w:pPr>
        <w:pStyle w:val="Parag01"/>
        <w:spacing w:lineRule="exact" w:line="280"/>
        <w:rPr>
          <w:sz w:val="24"/>
          <w:u w:val="single"/>
          <w:sz w:val="24"/>
          <w:szCs w:val="24"/>
          <w:rFonts w:ascii="Arial" w:hAnsi="Arial" w:eastAsia="Times New Roman" w:cs="Times New Roman"/>
          <w:color w:val="00000A"/>
          <w:lang w:val="fr-FR" w:eastAsia="ar-SA" w:bidi="ar-SA"/>
        </w:rPr>
      </w:pPr>
      <w:r>
        <w:rPr>
          <w:rFonts w:eastAsia="Times New Roman" w:cs="Times New Roman"/>
          <w:color w:val="00000A"/>
          <w:sz w:val="24"/>
          <w:szCs w:val="24"/>
          <w:u w:val="single"/>
          <w:lang w:val="fr-FR" w:eastAsia="ar-SA" w:bidi="ar-SA"/>
        </w:rPr>
      </w:r>
      <w:r/>
    </w:p>
    <w:p>
      <w:pPr>
        <w:pStyle w:val="Parag01"/>
        <w:spacing w:lineRule="exact" w:line="280"/>
        <w:rPr>
          <w:sz w:val="24"/>
          <w:u w:val="single"/>
          <w:sz w:val="24"/>
          <w:szCs w:val="24"/>
          <w:color w:val="00000A"/>
        </w:rPr>
      </w:pPr>
      <w:r>
        <w:rPr>
          <w:color w:val="00000A"/>
          <w:sz w:val="24"/>
          <w:szCs w:val="24"/>
          <w:u w:val="single"/>
        </w:rPr>
        <w:t>Publics bénéficiaires prioritaires</w:t>
        <w:drawing>
          <wp:anchor behindDoc="1" distT="360045" distB="360045" distL="0" distR="114300" simplePos="0" locked="0" layoutInCell="1" allowOverlap="1" relativeHeight="2">
            <wp:simplePos x="0" y="0"/>
            <wp:positionH relativeFrom="column">
              <wp:align>left</wp:align>
            </wp:positionH>
            <wp:positionV relativeFrom="page">
              <wp:posOffset>5047615</wp:posOffset>
            </wp:positionV>
            <wp:extent cx="6120130" cy="4328795"/>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6120130" cy="4328795"/>
                    </a:xfrm>
                    <a:prstGeom prst="rect">
                      <a:avLst/>
                    </a:prstGeom>
                    <a:noFill/>
                    <a:ln w="9525">
                      <a:noFill/>
                      <a:miter lim="800000"/>
                      <a:headEnd/>
                      <a:tailEnd/>
                    </a:ln>
                  </pic:spPr>
                </pic:pic>
              </a:graphicData>
            </a:graphic>
          </wp:anchor>
        </w:drawing>
      </w:r>
      <w:r/>
    </w:p>
    <w:p>
      <w:pPr>
        <w:pStyle w:val="Parag01"/>
        <w:spacing w:lineRule="exact" w:line="280" w:before="0" w:after="40"/>
        <w:rPr>
          <w:sz w:val="24"/>
          <w:sz w:val="24"/>
          <w:szCs w:val="24"/>
          <w:rFonts w:cs="Arial"/>
          <w:color w:val="00000A"/>
        </w:rPr>
      </w:pPr>
      <w:r>
        <w:rPr>
          <w:color w:val="00000A"/>
          <w:sz w:val="24"/>
          <w:szCs w:val="24"/>
        </w:rPr>
        <w:t xml:space="preserve">Les 2 écoles primaires </w:t>
      </w:r>
      <w:r>
        <w:rPr>
          <w:rFonts w:cs="Arial"/>
          <w:color w:val="00000A"/>
          <w:sz w:val="24"/>
          <w:szCs w:val="24"/>
        </w:rPr>
        <w:t>des quartiers politique de la ville que sont En Gach et Crins</w:t>
      </w:r>
      <w:r/>
    </w:p>
    <w:p>
      <w:pPr>
        <w:pStyle w:val="Parag01"/>
        <w:spacing w:lineRule="exact" w:line="280" w:before="0" w:after="40"/>
        <w:rPr>
          <w:sz w:val="24"/>
          <w:sz w:val="24"/>
          <w:szCs w:val="24"/>
          <w:color w:val="00000A"/>
        </w:rPr>
      </w:pPr>
      <w:r>
        <w:rPr>
          <w:color w:val="00000A"/>
          <w:sz w:val="24"/>
          <w:szCs w:val="24"/>
        </w:rPr>
        <w:t>L’ALSH qui offre un accueil extra-scolaire (mercredi et vacances) et péri-scolaire en semaine</w:t>
      </w:r>
      <w:r/>
    </w:p>
    <w:p>
      <w:pPr>
        <w:pStyle w:val="Parag01"/>
        <w:spacing w:lineRule="exact" w:line="280" w:before="0" w:after="40"/>
        <w:rPr>
          <w:sz w:val="24"/>
          <w:sz w:val="24"/>
          <w:szCs w:val="24"/>
          <w:color w:val="00000A"/>
        </w:rPr>
      </w:pPr>
      <w:r>
        <w:rPr>
          <w:color w:val="00000A"/>
          <w:sz w:val="24"/>
          <w:szCs w:val="24"/>
        </w:rPr>
        <w:t>Les résidents de l’EHPAD du pré de Millet</w:t>
      </w:r>
      <w:r/>
    </w:p>
    <w:p>
      <w:pPr>
        <w:pStyle w:val="Parag01"/>
        <w:spacing w:lineRule="exact" w:line="280" w:before="0" w:after="40"/>
        <w:rPr>
          <w:sz w:val="24"/>
          <w:sz w:val="24"/>
          <w:szCs w:val="24"/>
          <w:color w:val="00000A"/>
        </w:rPr>
      </w:pPr>
      <w:r>
        <w:rPr>
          <w:color w:val="00000A"/>
          <w:sz w:val="24"/>
          <w:szCs w:val="24"/>
        </w:rPr>
        <w:t>Les résidents du foyer des jeunes travailleurs</w:t>
      </w:r>
      <w:r/>
    </w:p>
    <w:p>
      <w:pPr>
        <w:pStyle w:val="Parag01"/>
        <w:spacing w:lineRule="exact" w:line="280" w:before="0" w:after="40"/>
        <w:rPr>
          <w:sz w:val="24"/>
          <w:sz w:val="24"/>
          <w:szCs w:val="24"/>
          <w:rFonts w:cs="Arial"/>
          <w:color w:val="00000A"/>
        </w:rPr>
      </w:pPr>
      <w:r>
        <w:rPr>
          <w:rFonts w:cs="Arial"/>
          <w:color w:val="00000A"/>
          <w:sz w:val="24"/>
          <w:szCs w:val="24"/>
        </w:rPr>
        <w:t>Les adhérents du Centre Social de Graulhet</w:t>
      </w:r>
      <w:r/>
    </w:p>
    <w:p>
      <w:pPr>
        <w:pStyle w:val="Parag01"/>
        <w:spacing w:lineRule="exact" w:line="280" w:before="0" w:after="40"/>
        <w:rPr>
          <w:sz w:val="24"/>
          <w:sz w:val="24"/>
          <w:szCs w:val="24"/>
          <w:color w:val="00000A"/>
        </w:rPr>
      </w:pPr>
      <w:r>
        <w:rPr>
          <w:color w:val="00000A"/>
          <w:sz w:val="24"/>
          <w:szCs w:val="24"/>
        </w:rPr>
        <w:t>Le collège Louis Pasteur de Graulhet</w:t>
      </w:r>
      <w:r/>
    </w:p>
    <w:p>
      <w:pPr>
        <w:pStyle w:val="Parag01"/>
        <w:spacing w:lineRule="exact" w:line="280" w:before="0" w:after="40"/>
        <w:rPr>
          <w:sz w:val="24"/>
          <w:sz w:val="24"/>
          <w:szCs w:val="24"/>
          <w:color w:val="00000A"/>
        </w:rPr>
      </w:pPr>
      <w:r>
        <w:rPr>
          <w:color w:val="00000A"/>
          <w:sz w:val="24"/>
          <w:szCs w:val="24"/>
        </w:rPr>
        <w:t>le lycée d’enseignement professionnel Clément de Pémille</w:t>
      </w:r>
      <w:r/>
    </w:p>
    <w:p>
      <w:pPr>
        <w:pStyle w:val="Parag01"/>
        <w:spacing w:lineRule="exact" w:line="280" w:before="0" w:after="40"/>
        <w:rPr>
          <w:sz w:val="24"/>
          <w:sz w:val="24"/>
          <w:szCs w:val="24"/>
          <w:color w:val="00000A"/>
        </w:rPr>
      </w:pPr>
      <w:r>
        <w:rPr>
          <w:color w:val="00000A"/>
          <w:sz w:val="24"/>
          <w:szCs w:val="24"/>
        </w:rPr>
        <w:t>Les associations culturelles présentes sur le territoire</w:t>
      </w:r>
      <w:r/>
    </w:p>
    <w:p>
      <w:pPr>
        <w:pStyle w:val="Parag01"/>
        <w:spacing w:lineRule="exact" w:line="280" w:before="0" w:after="40"/>
        <w:rPr>
          <w:sz w:val="24"/>
          <w:sz w:val="24"/>
          <w:szCs w:val="24"/>
          <w:rFonts w:ascii="Arial" w:hAnsi="Arial" w:eastAsia="Times New Roman" w:cs="Times New Roman"/>
          <w:color w:val="FF0000"/>
          <w:lang w:val="fr-FR" w:eastAsia="ar-SA" w:bidi="ar-SA"/>
        </w:rPr>
      </w:pPr>
      <w:r>
        <w:rPr>
          <w:rFonts w:eastAsia="Times New Roman" w:cs="Times New Roman"/>
          <w:color w:val="FF0000"/>
          <w:sz w:val="24"/>
          <w:szCs w:val="24"/>
          <w:lang w:val="fr-FR" w:eastAsia="ar-SA" w:bidi="ar-SA"/>
        </w:rPr>
      </w:r>
      <w:r/>
    </w:p>
    <w:p>
      <w:pPr>
        <w:pStyle w:val="Parag01"/>
        <w:spacing w:lineRule="exact" w:line="280" w:before="0" w:after="40"/>
        <w:rPr>
          <w:sz w:val="24"/>
          <w:sz w:val="24"/>
          <w:szCs w:val="24"/>
          <w:color w:val="00000A"/>
        </w:rPr>
      </w:pPr>
      <w:r>
        <w:rPr>
          <w:color w:val="00000A"/>
          <w:sz w:val="24"/>
          <w:szCs w:val="24"/>
        </w:rPr>
        <w:t xml:space="preserve">L’objectif à atteindre est de </w:t>
      </w:r>
      <w:r>
        <w:rPr>
          <w:b/>
          <w:color w:val="00000A"/>
          <w:sz w:val="24"/>
          <w:szCs w:val="24"/>
          <w:u w:val="single"/>
        </w:rPr>
        <w:t>mélanger les publics</w:t>
      </w:r>
      <w:r>
        <w:rPr>
          <w:color w:val="00000A"/>
          <w:sz w:val="24"/>
          <w:szCs w:val="24"/>
        </w:rPr>
        <w:t xml:space="preserve">, de façon à obtenir une fusion intergénérationnelle. A chaque fois que cela est possible, les ateliers mis en place deviennent prétexte à la rencontre produisant une émulation propre à enrichir le projet. </w:t>
      </w:r>
      <w:r/>
    </w:p>
    <w:p>
      <w:pPr>
        <w:pStyle w:val="Parag01"/>
        <w:spacing w:lineRule="exact" w:line="280" w:before="0" w:after="40"/>
        <w:rPr>
          <w:sz w:val="24"/>
          <w:sz w:val="24"/>
          <w:szCs w:val="24"/>
          <w:color w:val="00000A"/>
        </w:rPr>
      </w:pPr>
      <w:r>
        <w:rPr>
          <w:color w:val="00000A"/>
          <w:sz w:val="24"/>
          <w:szCs w:val="24"/>
        </w:rPr>
        <w:t>Pour toucher les habitants du territoire, les artistes sont conviés à intervenir lors de manifestations habituelles telles que les fêtes de village, foires, marchés, lotos, belotes, afin de croiser les thématiques et sensibiliser de nouveaux publics.</w:t>
      </w:r>
      <w:r/>
    </w:p>
    <w:p>
      <w:pPr>
        <w:pStyle w:val="Parag01"/>
        <w:spacing w:lineRule="exact" w:line="280" w:before="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b/>
          <w:sz w:val="24"/>
          <w:b/>
          <w:szCs w:val="24"/>
        </w:rPr>
      </w:pPr>
      <w:r>
        <w:rPr>
          <w:b/>
          <w:sz w:val="24"/>
          <w:szCs w:val="24"/>
        </w:rPr>
        <w:t>La population des quartiers prioritaires à Graulhet</w:t>
      </w:r>
      <w:r/>
    </w:p>
    <w:p>
      <w:pPr>
        <w:pStyle w:val="Parag01"/>
        <w:spacing w:lineRule="exact" w:line="280" w:before="120" w:after="40"/>
        <w:rPr>
          <w:sz w:val="24"/>
          <w:b/>
          <w:sz w:val="24"/>
          <w:b/>
          <w:szCs w:val="24"/>
          <w:color w:val="00000A"/>
        </w:rPr>
      </w:pPr>
      <w:r>
        <w:rPr>
          <w:b/>
          <w:color w:val="00000A"/>
          <w:sz w:val="24"/>
          <w:szCs w:val="24"/>
        </w:rPr>
        <w:t>Quartier politique de la ville :</w:t>
      </w:r>
      <w:r/>
    </w:p>
    <w:p>
      <w:pPr>
        <w:pStyle w:val="Parag01"/>
        <w:spacing w:lineRule="exact" w:line="280" w:before="120" w:after="40"/>
        <w:rPr>
          <w:sz w:val="24"/>
          <w:sz w:val="24"/>
          <w:szCs w:val="24"/>
          <w:color w:val="00000A"/>
        </w:rPr>
      </w:pPr>
      <w:r>
        <w:rPr>
          <w:color w:val="00000A"/>
          <w:sz w:val="24"/>
          <w:szCs w:val="24"/>
        </w:rPr>
        <w:t>géographie prioritaire définie par le Décret 2014-1750 du 30 décembre 2016.</w:t>
      </w:r>
      <w:r/>
    </w:p>
    <w:p>
      <w:pPr>
        <w:pStyle w:val="Parag01"/>
        <w:spacing w:lineRule="exact" w:line="280" w:before="120" w:after="40"/>
        <w:rPr>
          <w:sz w:val="24"/>
          <w:b/>
          <w:sz w:val="24"/>
          <w:b/>
          <w:szCs w:val="24"/>
          <w:color w:val="00000A"/>
        </w:rPr>
      </w:pPr>
      <w:r>
        <w:rPr>
          <w:b/>
          <w:color w:val="00000A"/>
          <w:sz w:val="24"/>
          <w:szCs w:val="24"/>
        </w:rPr>
        <w:t>Quartier de Crins – En gach : 3070 habitants</w:t>
      </w:r>
      <w:r/>
    </w:p>
    <w:p>
      <w:pPr>
        <w:pStyle w:val="Parag01"/>
        <w:spacing w:lineRule="exact" w:line="280" w:before="0" w:after="40"/>
        <w:rPr>
          <w:sz w:val="24"/>
          <w:sz w:val="24"/>
          <w:szCs w:val="24"/>
          <w:color w:val="00000A"/>
        </w:rPr>
      </w:pPr>
      <w:r>
        <w:rPr>
          <w:color w:val="00000A"/>
          <w:sz w:val="24"/>
          <w:szCs w:val="24"/>
        </w:rPr>
        <w:t>Revenu médian 9700€</w:t>
      </w:r>
      <w:r/>
    </w:p>
    <w:p>
      <w:pPr>
        <w:pStyle w:val="Parag01"/>
        <w:spacing w:lineRule="exact" w:line="280" w:before="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0" w:after="40"/>
        <w:rPr>
          <w:sz w:val="36"/>
          <w:b/>
          <w:sz w:val="36"/>
          <w:b/>
          <w:szCs w:val="36"/>
          <w:color w:val="00000A"/>
        </w:rPr>
      </w:pPr>
      <w:r>
        <w:rPr>
          <w:b/>
          <w:color w:val="00000A"/>
          <w:sz w:val="36"/>
          <w:szCs w:val="36"/>
        </w:rPr>
        <w:t>2011</w:t>
      </w:r>
      <w:r/>
    </w:p>
    <w:p>
      <w:pPr>
        <w:pStyle w:val="Parag01"/>
        <w:spacing w:lineRule="exact" w:line="280" w:before="0" w:after="40"/>
        <w:rPr>
          <w:sz w:val="24"/>
          <w:sz w:val="24"/>
          <w:szCs w:val="24"/>
          <w:color w:val="00000A"/>
        </w:rPr>
      </w:pPr>
      <w:r>
        <w:rPr>
          <w:color w:val="00000A"/>
          <w:sz w:val="24"/>
          <w:szCs w:val="24"/>
        </w:rPr>
        <w:t>Part des bas revenus</w:t>
        <w:tab/>
        <w:t>30.6 %</w:t>
      </w:r>
      <w:r/>
    </w:p>
    <w:p>
      <w:pPr>
        <w:pStyle w:val="Parag01"/>
        <w:spacing w:lineRule="exact" w:line="280" w:before="0" w:after="40"/>
        <w:rPr>
          <w:sz w:val="24"/>
          <w:sz w:val="24"/>
          <w:szCs w:val="24"/>
          <w:color w:val="00000A"/>
        </w:rPr>
      </w:pPr>
      <w:r>
        <w:rPr>
          <w:color w:val="00000A"/>
          <w:sz w:val="24"/>
          <w:szCs w:val="24"/>
        </w:rPr>
        <w:t>Part des 15/29 ans</w:t>
        <w:tab/>
        <w:t>21 %</w:t>
      </w:r>
      <w:r/>
    </w:p>
    <w:p>
      <w:pPr>
        <w:pStyle w:val="Parag01"/>
        <w:spacing w:lineRule="exact" w:line="280" w:before="0" w:after="40"/>
        <w:rPr>
          <w:sz w:val="24"/>
          <w:sz w:val="24"/>
          <w:szCs w:val="24"/>
          <w:color w:val="00000A"/>
        </w:rPr>
      </w:pPr>
      <w:r>
        <w:rPr>
          <w:color w:val="00000A"/>
          <w:sz w:val="24"/>
          <w:szCs w:val="24"/>
        </w:rPr>
        <w:t>Part des ménages de 6 personnes et plus</w:t>
        <w:tab/>
        <w:t>3,5 %</w:t>
      </w:r>
      <w:r/>
    </w:p>
    <w:p>
      <w:pPr>
        <w:pStyle w:val="Parag01"/>
        <w:spacing w:lineRule="exact" w:line="280" w:before="0" w:after="40"/>
        <w:rPr>
          <w:sz w:val="24"/>
          <w:sz w:val="24"/>
          <w:szCs w:val="24"/>
          <w:color w:val="00000A"/>
        </w:rPr>
      </w:pPr>
      <w:r>
        <w:rPr>
          <w:color w:val="00000A"/>
          <w:sz w:val="24"/>
          <w:szCs w:val="24"/>
        </w:rPr>
        <w:t>Médiane de la surface du logement (en m² par personne)</w:t>
        <w:tab/>
        <w:t>40</w:t>
      </w:r>
      <w:r/>
    </w:p>
    <w:p>
      <w:pPr>
        <w:pStyle w:val="Parag01"/>
        <w:spacing w:lineRule="exact" w:line="280" w:before="0" w:after="40"/>
        <w:rPr>
          <w:sz w:val="24"/>
          <w:sz w:val="24"/>
          <w:szCs w:val="24"/>
          <w:color w:val="00000A"/>
        </w:rPr>
      </w:pPr>
      <w:r>
        <w:rPr>
          <w:color w:val="00000A"/>
          <w:sz w:val="24"/>
          <w:szCs w:val="24"/>
        </w:rPr>
        <w:t>Part des Ménages monoparentaux avec jeunes enfants</w:t>
        <w:tab/>
        <w:t>7 %</w:t>
      </w:r>
      <w:r/>
    </w:p>
    <w:p>
      <w:pPr>
        <w:pStyle w:val="Parag01"/>
        <w:spacing w:lineRule="exact" w:line="280" w:before="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0" w:after="40"/>
        <w:rPr>
          <w:sz w:val="36"/>
          <w:b/>
          <w:sz w:val="36"/>
          <w:b/>
          <w:szCs w:val="36"/>
          <w:color w:val="00000A"/>
        </w:rPr>
      </w:pPr>
      <w:r>
        <w:rPr>
          <w:b/>
          <w:color w:val="00000A"/>
          <w:sz w:val="36"/>
          <w:szCs w:val="36"/>
        </w:rPr>
        <w:t>2012</w:t>
      </w:r>
      <w:r/>
    </w:p>
    <w:p>
      <w:pPr>
        <w:pStyle w:val="Parag01"/>
        <w:spacing w:lineRule="exact" w:line="280" w:before="0" w:after="40"/>
        <w:rPr>
          <w:sz w:val="24"/>
          <w:sz w:val="24"/>
          <w:szCs w:val="24"/>
          <w:color w:val="00000A"/>
        </w:rPr>
      </w:pPr>
      <w:r>
        <w:rPr>
          <w:color w:val="00000A"/>
          <w:sz w:val="24"/>
          <w:szCs w:val="24"/>
        </w:rPr>
        <w:t>Part des ménages recevant au moins une allocation de chômage</w:t>
      </w:r>
      <w:r>
        <w:rPr>
          <w:color w:val="00000A"/>
          <w:sz w:val="24"/>
          <w:szCs w:val="24"/>
          <w:u w:val="dottedHeavy"/>
        </w:rPr>
        <w:tab/>
      </w:r>
      <w:r>
        <w:rPr>
          <w:color w:val="00000A"/>
          <w:sz w:val="24"/>
          <w:szCs w:val="24"/>
        </w:rPr>
        <w:t>25,5 %</w:t>
      </w:r>
      <w:r/>
    </w:p>
    <w:p>
      <w:pPr>
        <w:pStyle w:val="Parag01"/>
        <w:spacing w:lineRule="exact" w:line="280" w:before="0" w:after="40"/>
        <w:rPr>
          <w:sz w:val="24"/>
          <w:sz w:val="24"/>
          <w:szCs w:val="24"/>
          <w:color w:val="00000A"/>
        </w:rPr>
      </w:pPr>
      <w:r>
        <w:rPr>
          <w:color w:val="00000A"/>
          <w:sz w:val="24"/>
          <w:szCs w:val="24"/>
        </w:rPr>
        <w:t>Part des ménages imposés</w:t>
        <w:tab/>
        <w:t>25,6 %</w:t>
      </w:r>
      <w:r/>
    </w:p>
    <w:p>
      <w:pPr>
        <w:pStyle w:val="Parag01"/>
        <w:spacing w:lineRule="exact" w:line="280" w:before="0" w:after="40"/>
        <w:rPr>
          <w:sz w:val="24"/>
          <w:sz w:val="24"/>
          <w:szCs w:val="24"/>
          <w:color w:val="00000A"/>
        </w:rPr>
      </w:pPr>
      <w:r>
        <w:rPr>
          <w:color w:val="00000A"/>
          <w:sz w:val="24"/>
          <w:szCs w:val="24"/>
        </w:rPr>
        <w:t>Part des familles monoparentales parmi les ménages</w:t>
        <w:tab/>
        <w:t>16,2</w:t>
      </w:r>
      <w:r/>
    </w:p>
    <w:p>
      <w:pPr>
        <w:pStyle w:val="Parag01"/>
        <w:spacing w:lineRule="exact" w:line="280" w:before="0" w:after="40"/>
        <w:rPr>
          <w:sz w:val="24"/>
          <w:sz w:val="24"/>
          <w:szCs w:val="24"/>
          <w:color w:val="00000A"/>
        </w:rPr>
      </w:pPr>
      <w:r>
        <w:rPr>
          <w:color w:val="00000A"/>
          <w:sz w:val="24"/>
          <w:szCs w:val="24"/>
        </w:rPr>
        <w:t>Part des ménages de 5 personnes et plus</w:t>
        <w:tab/>
        <w:t>9,2 %</w:t>
      </w:r>
      <w:r/>
    </w:p>
    <w:p>
      <w:pPr>
        <w:pStyle w:val="Parag01"/>
        <w:spacing w:lineRule="exact" w:line="280" w:before="0" w:after="40"/>
        <w:rPr>
          <w:sz w:val="24"/>
          <w:sz w:val="24"/>
          <w:szCs w:val="24"/>
          <w:color w:val="00000A"/>
        </w:rPr>
      </w:pPr>
      <w:r>
        <w:rPr>
          <w:color w:val="00000A"/>
          <w:sz w:val="24"/>
          <w:szCs w:val="24"/>
        </w:rPr>
        <w:t>Part des ménages locataires</w:t>
        <w:tab/>
        <w:t>64,2 %</w:t>
      </w:r>
      <w:r/>
    </w:p>
    <w:p>
      <w:pPr>
        <w:pStyle w:val="Parag01"/>
        <w:spacing w:lineRule="exact" w:line="280" w:before="0" w:after="40"/>
        <w:rPr>
          <w:sz w:val="24"/>
          <w:sz w:val="24"/>
          <w:szCs w:val="24"/>
          <w:color w:val="00000A"/>
        </w:rPr>
      </w:pPr>
      <w:r>
        <w:rPr>
          <w:color w:val="00000A"/>
          <w:sz w:val="24"/>
          <w:szCs w:val="24"/>
        </w:rPr>
        <w:t>Taux de pauvreté (au seuil de 60%)</w:t>
        <w:tab/>
        <w:t>41,7 %</w:t>
      </w:r>
      <w:r/>
    </w:p>
    <w:p>
      <w:pPr>
        <w:pStyle w:val="Parag01"/>
        <w:spacing w:lineRule="exact" w:line="280" w:before="120" w:after="40"/>
        <w:rPr>
          <w:sz w:val="24"/>
          <w:sz w:val="24"/>
          <w:szCs w:val="24"/>
          <w:color w:val="00000A"/>
        </w:rPr>
      </w:pPr>
      <w:r>
        <w:rPr>
          <w:color w:val="00000A"/>
          <w:sz w:val="24"/>
          <w:szCs w:val="24"/>
        </w:rPr>
        <w:t>Taux de bas revenus déclarés (au seuil de 60%)</w:t>
        <w:tab/>
        <w:t>58 %</w:t>
      </w:r>
      <w:r/>
    </w:p>
    <w:p>
      <w:pPr>
        <w:pStyle w:val="Parag01"/>
        <w:spacing w:lineRule="exact" w:line="280" w:before="12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120" w:after="40"/>
        <w:rPr>
          <w:sz w:val="24"/>
          <w:sz w:val="24"/>
          <w:szCs w:val="24"/>
          <w:color w:val="00000A"/>
        </w:rPr>
      </w:pPr>
      <w:r>
        <w:rPr>
          <w:color w:val="00000A"/>
          <w:sz w:val="24"/>
          <w:szCs w:val="24"/>
        </w:rPr>
        <w:t>Ratio femmes / hommes 53% de femmes</w:t>
      </w:r>
      <w:r/>
    </w:p>
    <w:p>
      <w:pPr>
        <w:pStyle w:val="Parag01"/>
        <w:spacing w:lineRule="exact" w:line="280" w:before="120" w:after="40"/>
        <w:rPr>
          <w:sz w:val="24"/>
          <w:sz w:val="24"/>
          <w:szCs w:val="24"/>
          <w:color w:val="00000A"/>
        </w:rPr>
      </w:pPr>
      <w:r>
        <w:rPr>
          <w:color w:val="00000A"/>
          <w:sz w:val="24"/>
          <w:szCs w:val="24"/>
        </w:rPr>
        <w:t>0/14 ans</w:t>
        <w:tab/>
        <w:t>21%</w:t>
      </w:r>
      <w:r/>
    </w:p>
    <w:p>
      <w:pPr>
        <w:pStyle w:val="Parag01"/>
        <w:spacing w:lineRule="exact" w:line="280" w:before="120" w:after="40"/>
        <w:rPr>
          <w:sz w:val="24"/>
          <w:sz w:val="24"/>
          <w:szCs w:val="24"/>
          <w:color w:val="00000A"/>
        </w:rPr>
      </w:pPr>
      <w:r>
        <w:rPr>
          <w:color w:val="00000A"/>
          <w:sz w:val="24"/>
          <w:szCs w:val="24"/>
        </w:rPr>
        <w:t>15/29 ans</w:t>
        <w:tab/>
        <w:t>16%</w:t>
      </w:r>
      <w:r/>
    </w:p>
    <w:p>
      <w:pPr>
        <w:pStyle w:val="Parag01"/>
        <w:spacing w:lineRule="exact" w:line="280" w:before="120" w:after="40"/>
        <w:rPr>
          <w:sz w:val="24"/>
          <w:sz w:val="24"/>
          <w:szCs w:val="24"/>
          <w:color w:val="00000A"/>
        </w:rPr>
      </w:pPr>
      <w:r>
        <w:rPr>
          <w:color w:val="00000A"/>
          <w:sz w:val="24"/>
          <w:szCs w:val="24"/>
        </w:rPr>
        <w:t>30/44 ans</w:t>
        <w:tab/>
        <w:t>15%</w:t>
      </w:r>
      <w:r/>
    </w:p>
    <w:p>
      <w:pPr>
        <w:pStyle w:val="Parag01"/>
        <w:spacing w:lineRule="exact" w:line="280" w:before="120" w:after="40"/>
        <w:rPr>
          <w:sz w:val="24"/>
          <w:sz w:val="24"/>
          <w:szCs w:val="24"/>
          <w:color w:val="00000A"/>
        </w:rPr>
      </w:pPr>
      <w:r>
        <w:rPr>
          <w:color w:val="00000A"/>
          <w:sz w:val="24"/>
          <w:szCs w:val="24"/>
        </w:rPr>
        <w:t>45/59</w:t>
        <w:tab/>
        <w:t>18%</w:t>
      </w:r>
      <w:r/>
    </w:p>
    <w:p>
      <w:pPr>
        <w:pStyle w:val="Parag01"/>
        <w:spacing w:lineRule="exact" w:line="280" w:before="0" w:after="40"/>
        <w:rPr>
          <w:sz w:val="24"/>
          <w:sz w:val="24"/>
          <w:szCs w:val="24"/>
          <w:color w:val="00000A"/>
        </w:rPr>
      </w:pPr>
      <w:r>
        <w:rPr>
          <w:color w:val="00000A"/>
          <w:sz w:val="24"/>
          <w:szCs w:val="24"/>
        </w:rPr>
        <w:t xml:space="preserve">60 et plus </w:t>
        <w:tab/>
        <w:t>30%</w:t>
      </w:r>
      <w:r/>
    </w:p>
    <w:p>
      <w:pPr>
        <w:pStyle w:val="Parag01"/>
        <w:spacing w:lineRule="exact" w:line="280" w:before="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0" w:after="40"/>
        <w:jc w:val="center"/>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0" w:after="4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before="0" w:after="40"/>
        <w:rPr>
          <w:sz w:val="28"/>
          <w:b/>
          <w:sz w:val="28"/>
          <w:b/>
          <w:szCs w:val="28"/>
          <w:rFonts w:ascii="Arial" w:hAnsi="Arial" w:eastAsia="Times New Roman" w:cs="Times New Roman"/>
          <w:color w:val="00000A"/>
          <w:lang w:val="fr-FR" w:eastAsia="ar-SA" w:bidi="ar-SA"/>
        </w:rPr>
      </w:pPr>
      <w:r>
        <w:rPr>
          <w:rFonts w:eastAsia="Times New Roman" w:cs="Times New Roman"/>
          <w:b/>
          <w:color w:val="00000A"/>
          <w:sz w:val="28"/>
          <w:szCs w:val="28"/>
          <w:lang w:val="fr-FR" w:eastAsia="ar-SA" w:bidi="ar-SA"/>
        </w:rPr>
      </w:r>
      <w:r/>
    </w:p>
    <w:p>
      <w:pPr>
        <w:pStyle w:val="Parag01"/>
        <w:spacing w:lineRule="exact" w:line="280"/>
        <w:rPr>
          <w:sz w:val="28"/>
          <w:b/>
          <w:sz w:val="28"/>
          <w:b/>
          <w:szCs w:val="28"/>
        </w:rPr>
      </w:pPr>
      <w:r>
        <w:rPr>
          <w:b/>
          <w:sz w:val="28"/>
          <w:szCs w:val="28"/>
        </w:rPr>
        <w:t>Le Projet « c’est le cirque ! »</w:t>
      </w:r>
      <w:r/>
    </w:p>
    <w:p>
      <w:pPr>
        <w:pStyle w:val="Parag01"/>
        <w:spacing w:lineRule="exact" w:line="280"/>
        <w:rPr>
          <w:sz w:val="24"/>
          <w:sz w:val="24"/>
          <w:szCs w:val="24"/>
          <w:rFonts w:ascii="Arial" w:hAnsi="Arial" w:eastAsia="Times New Roman" w:cs="Times New Roman"/>
          <w:color w:val="00000A"/>
          <w:lang w:val="fr-FR" w:eastAsia="ar-SA" w:bidi="ar-SA"/>
        </w:rPr>
      </w:pPr>
      <w:r>
        <w:rPr>
          <w:rFonts w:eastAsia="Times New Roman" w:cs="Times New Roman"/>
          <w:color w:val="00000A"/>
          <w:sz w:val="24"/>
          <w:szCs w:val="24"/>
          <w:lang w:val="fr-FR" w:eastAsia="ar-SA" w:bidi="ar-SA"/>
        </w:rPr>
      </w:r>
      <w:r/>
    </w:p>
    <w:p>
      <w:pPr>
        <w:pStyle w:val="Parag01"/>
        <w:spacing w:lineRule="exact" w:line="280"/>
        <w:rPr>
          <w:sz w:val="24"/>
          <w:sz w:val="24"/>
          <w:szCs w:val="24"/>
          <w:color w:val="00000A"/>
        </w:rPr>
      </w:pPr>
      <w:r>
        <w:rPr>
          <w:color w:val="00000A"/>
          <w:sz w:val="24"/>
          <w:szCs w:val="24"/>
        </w:rPr>
        <w:t>La ville est marquée par son histoire récente et dramatique autour de son industrie du cuir.</w:t>
        <w:br/>
        <w:t>Le grand projet du mandat précédent a permis d’obtenir l’acceptation de la réhabilitation des friches industrielles. La plaine de Millet accueille aujourd’hui un théâtre de verdure, un cinéma, une médiathèque et une passerelle qui relie le quartier d’habitat social de Crins au Pôle culturel. Au-delà de la démolition, les friches industrielles sont aussi le terrain privilégié d’entrepreneurs privés, ainsi ces vieux bâtiments industriels accueillent par exemple un café concert, deux brasseries, une salle de musique en cours de rénovation et une école de cirque qui réunit de nombreux enfants et adultes.</w:t>
      </w:r>
      <w:r/>
    </w:p>
    <w:p>
      <w:pPr>
        <w:pStyle w:val="Parag01"/>
        <w:spacing w:lineRule="exact" w:line="280"/>
        <w:rPr>
          <w:sz w:val="24"/>
          <w:sz w:val="24"/>
          <w:szCs w:val="24"/>
          <w:color w:val="00000A"/>
        </w:rPr>
      </w:pPr>
      <w:r>
        <w:rPr>
          <w:color w:val="00000A"/>
          <w:sz w:val="24"/>
          <w:szCs w:val="24"/>
        </w:rPr>
        <w:t>Parallèlement, la politique culturelle volontariste rassemble sans fédérer, aussi le projet « tous en piste » a pour but de capter le public éloigné des pratiques culturelles. Nous pensons que le cirque actuel, mêlant de nombreuses pratiques artistiques saura fédérer notre public, celui que nous visons et les artistes graulhétois autour d’un projet commun.</w:t>
      </w:r>
      <w:r/>
    </w:p>
    <w:p>
      <w:pPr>
        <w:pStyle w:val="Parag01"/>
        <w:spacing w:lineRule="exact" w:line="280"/>
        <w:rPr>
          <w:sz w:val="24"/>
          <w:sz w:val="24"/>
          <w:szCs w:val="24"/>
          <w:color w:val="00000A"/>
        </w:rPr>
      </w:pPr>
      <w:r>
        <w:rPr>
          <w:color w:val="00000A"/>
          <w:sz w:val="24"/>
          <w:szCs w:val="24"/>
        </w:rPr>
        <w:t>Le projet « tous en piste » donnera lieu à une manifestation dédiée au cirque actuel les 1</w:t>
      </w:r>
      <w:r>
        <w:rPr>
          <w:color w:val="00000A"/>
          <w:sz w:val="24"/>
          <w:szCs w:val="24"/>
          <w:vertAlign w:val="superscript"/>
        </w:rPr>
        <w:t>er</w:t>
      </w:r>
      <w:r>
        <w:rPr>
          <w:color w:val="00000A"/>
          <w:sz w:val="24"/>
          <w:szCs w:val="24"/>
        </w:rPr>
        <w:t xml:space="preserve"> et 2 juin 2017 au stade N. Pelissou de Graulhet dans le cadre d’une programmation tout public d’envergure (programmation en cours).</w:t>
      </w:r>
      <w:r/>
    </w:p>
    <w:p>
      <w:pPr>
        <w:pStyle w:val="Parag01"/>
        <w:spacing w:lineRule="exact" w:line="280"/>
        <w:rPr>
          <w:sz w:val="24"/>
          <w:sz w:val="24"/>
          <w:szCs w:val="24"/>
          <w:color w:val="00000A"/>
        </w:rPr>
      </w:pPr>
      <w:r>
        <w:rPr>
          <w:color w:val="00000A"/>
          <w:sz w:val="24"/>
          <w:szCs w:val="24"/>
        </w:rPr>
        <w:t>Le cirque actuel sera un moyen de décliner et d’approcher plusieurs champs artistiques et culturels : dans la phase de collecte, de production et de création et peut-être dans la restitution</w:t>
      </w:r>
      <w:r/>
    </w:p>
    <w:p>
      <w:pPr>
        <w:pStyle w:val="Parag01"/>
        <w:spacing w:lineRule="exact" w:line="280"/>
        <w:rPr>
          <w:sz w:val="24"/>
          <w:sz w:val="24"/>
          <w:szCs w:val="24"/>
          <w:color w:val="00000A"/>
        </w:rPr>
      </w:pPr>
      <w:r>
        <w:rPr>
          <w:color w:val="00000A"/>
          <w:sz w:val="24"/>
          <w:szCs w:val="24"/>
        </w:rPr>
        <w:t>Le cirque actuel permettra de toucher différents publics, de par le lien intergénérationnel de la tradition circassienne et l’appropriation des arts croisés.</w:t>
      </w:r>
      <w:r/>
    </w:p>
    <w:p>
      <w:pPr>
        <w:pStyle w:val="Parag01"/>
        <w:spacing w:lineRule="exact" w:line="280"/>
        <w:rPr>
          <w:sz w:val="24"/>
          <w:sz w:val="24"/>
          <w:szCs w:val="24"/>
          <w:color w:val="00000A"/>
        </w:rPr>
      </w:pPr>
      <w:r>
        <w:rPr>
          <w:color w:val="00000A"/>
          <w:sz w:val="24"/>
          <w:szCs w:val="24"/>
        </w:rPr>
        <w:t>Les artistes retenus pourront s’appuyer sur l’histoire et les traditions locales en ayant une ouverture vers l’avenir, les valeurs portées par le territoire, pour proposer une vision basée sur une démarche contemporaine dans la création, la restitution et la diffusion.</w:t>
      </w:r>
      <w:r/>
    </w:p>
    <w:p>
      <w:pPr>
        <w:pStyle w:val="Parag01"/>
        <w:pBdr>
          <w:top w:val="single" w:sz="4" w:space="0" w:color="000001"/>
        </w:pBdr>
        <w:spacing w:lineRule="exact" w:line="280" w:before="120" w:after="120"/>
        <w:jc w:val="center"/>
        <w:rPr>
          <w:sz w:val="22"/>
          <w:sz w:val="22"/>
          <w:szCs w:val="20"/>
          <w:rFonts w:ascii="Arial" w:hAnsi="Arial" w:eastAsia="Times New Roman" w:cs="Times New Roman"/>
          <w:color w:val="00000A"/>
          <w:lang w:val="fr-FR" w:eastAsia="ar-SA" w:bidi="ar-SA"/>
        </w:rPr>
      </w:pPr>
      <w:r>
        <w:rPr/>
      </w:r>
      <w:r/>
    </w:p>
    <w:sectPr>
      <w:footerReference w:type="default" r:id="rId3"/>
      <w:type w:val="nextPage"/>
      <w:pgSz w:w="11906" w:h="16838"/>
      <w:pgMar w:left="1134" w:right="1134" w:header="0" w:top="1134" w:footer="720" w:bottom="77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1"/>
    <w:family w:val="swiss"/>
    <w:pitch w:val="default"/>
  </w:font>
  <w:font w:name="Times New Roman">
    <w:charset w:val="01"/>
    <w:family w:val="swiss"/>
    <w:pitch w:val="default"/>
  </w:font>
  <w:font w:name="Arial">
    <w:charset w:val="01"/>
    <w:family w:val="swiss"/>
    <w:pitch w:val="default"/>
  </w:font>
  <w:font w:name="Courier New">
    <w:charset w:val="01"/>
    <w:family w:val="swiss"/>
    <w:pitch w:val="default"/>
  </w:font>
  <w:font w:name="Wingdings">
    <w:charset w:val="01"/>
    <w:family w:val="swiss"/>
    <w:pitch w:val="default"/>
  </w:font>
  <w:font w:name="Symbol">
    <w:charset w:val="01"/>
    <w:family w:val="swiss"/>
    <w:pitch w:val="default"/>
  </w:font>
  <w:font w:name="Segoe UI">
    <w:charset w:val="01"/>
    <w:family w:val="swiss"/>
    <w:pitch w:val="default"/>
  </w:font>
  <w:font w:name="Liberation Sans">
    <w:altName w:val="Arial"/>
    <w:charset w:val="01"/>
    <w:family w:val="swiss"/>
    <w:pitch w:val="default"/>
  </w:font>
  <w:font w:name="Verdana">
    <w:charset w:val="01"/>
    <w:family w:val="swiss"/>
    <w:pitch w:val="default"/>
  </w:font>
  <w:font w:name="Arial">
    <w:charset w:val="01"/>
    <w:family w:val="swiss"/>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2"/>
        <w:i/>
        <w:sz w:val="22"/>
        <w:i/>
        <w:szCs w:val="22"/>
        <w:rFonts w:ascii="Cambria" w:hAnsi="Cambria"/>
      </w:rPr>
    </w:pPr>
    <w:r>
      <w:rPr>
        <w:rFonts w:ascii="Cambria" w:hAnsi="Cambria"/>
        <w:i/>
        <w:sz w:val="22"/>
        <w:szCs w:val="22"/>
      </w:rPr>
      <w:t>ville de graulhet</w:t>
    </w:r>
    <w:r/>
  </w:p>
  <w:p>
    <w:pPr>
      <w:pStyle w:val="Normal"/>
      <w:rPr>
        <w:rFonts w:ascii="Cambria" w:hAnsi="Cambria"/>
      </w:rPr>
    </w:pPr>
    <w:r>
      <w:rPr>
        <w:rFonts w:ascii="Cambria" w:hAnsi="Cambria"/>
        <w:i/>
        <w:sz w:val="22"/>
        <w:szCs w:val="22"/>
      </w:rPr>
      <w:t xml:space="preserve">Contact : Vincent portal                                                                                                                                  </w:t>
    </w:r>
    <w:r>
      <w:rPr>
        <w:rFonts w:ascii="Cambria" w:hAnsi="Cambria"/>
      </w:rPr>
      <w:tab/>
      <w:t xml:space="preserve">Page </w:t>
    </w:r>
    <w:r>
      <w:rPr>
        <w:rFonts w:ascii="Cambria" w:hAnsi="Cambria"/>
      </w:rPr>
      <w:fldChar w:fldCharType="begin"/>
    </w:r>
    <w:r>
      <w:instrText> PAGE </w:instrText>
    </w:r>
    <w:r>
      <w:fldChar w:fldCharType="separate"/>
    </w:r>
    <w:r>
      <w:t>13</w:t>
    </w:r>
    <w:r>
      <w:fldChar w:fldCharType="end"/>
    </w:r>
    <w:r/>
  </w:p>
  <w:p>
    <w:pPr>
      <w:pStyle w:val="Pieddepage"/>
    </w:pPr>
    <w:r>
      <w:rPr/>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0"/>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Cs w:val="24"/>
        <w:lang w:val="en-GB" w:eastAsia="ja-JP" w:bidi="ar-SA"/>
      </w:rPr>
    </w:rPrDefault>
    <w:pPrDefault>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pPr>
      <w:widowControl/>
      <w:suppressAutoHyphens w:val="true"/>
      <w:bidi w:val="0"/>
      <w:jc w:val="left"/>
    </w:pPr>
    <w:rPr>
      <w:rFonts w:ascii="Times New Roman" w:hAnsi="Times New Roman" w:eastAsia="Times New Roman" w:cs="Times New Roman"/>
      <w:color w:val="00000A"/>
      <w:sz w:val="24"/>
      <w:szCs w:val="24"/>
      <w:lang w:val="fr-FR" w:eastAsia="ar-SA" w:bidi="ar-SA"/>
    </w:rPr>
  </w:style>
  <w:style w:type="character" w:styleId="DefaultParagraphFont" w:default="1">
    <w:name w:val="Default Paragraph Font"/>
    <w:uiPriority w:val="1"/>
    <w:unhideWhenUsed/>
    <w:rPr/>
  </w:style>
  <w:style w:type="character" w:styleId="WW8Num1z0" w:customStyle="1">
    <w:name w:val="WW8Num1z0"/>
    <w:rPr>
      <w:rFonts w:ascii="Arial" w:hAnsi="Arial" w:eastAsia="Times New Roman" w:cs="Arial"/>
    </w:rPr>
  </w:style>
  <w:style w:type="character" w:styleId="WW8Num1z1" w:customStyle="1">
    <w:name w:val="WW8Num1z1"/>
    <w:rPr>
      <w:rFonts w:ascii="Courier New" w:hAnsi="Courier New" w:cs="Courier New"/>
    </w:rPr>
  </w:style>
  <w:style w:type="character" w:styleId="WW8Num1z2" w:customStyle="1">
    <w:name w:val="WW8Num1z2"/>
    <w:rPr>
      <w:rFonts w:ascii="Wingdings" w:hAnsi="Wingdings"/>
    </w:rPr>
  </w:style>
  <w:style w:type="character" w:styleId="WW8Num1z3" w:customStyle="1">
    <w:name w:val="WW8Num1z3"/>
    <w:rPr>
      <w:rFonts w:ascii="Symbol" w:hAnsi="Symbol"/>
    </w:rPr>
  </w:style>
  <w:style w:type="character" w:styleId="WW8Num2z0" w:customStyle="1">
    <w:name w:val="WW8Num2z0"/>
    <w:rPr>
      <w:rFonts w:ascii="Wingdings" w:hAnsi="Wingdings"/>
    </w:rPr>
  </w:style>
  <w:style w:type="character" w:styleId="WW8Num2z1" w:customStyle="1">
    <w:name w:val="WW8Num2z1"/>
    <w:rPr>
      <w:rFonts w:ascii="Courier New" w:hAnsi="Courier New" w:cs="Courier New"/>
    </w:rPr>
  </w:style>
  <w:style w:type="character" w:styleId="WW8Num2z3" w:customStyle="1">
    <w:name w:val="WW8Num2z3"/>
    <w:rPr>
      <w:rFonts w:ascii="Symbol" w:hAnsi="Symbol"/>
    </w:rPr>
  </w:style>
  <w:style w:type="character" w:styleId="Policepardfaut1" w:customStyle="1">
    <w:name w:val="Police par défaut1"/>
    <w:rPr/>
  </w:style>
  <w:style w:type="character" w:styleId="EntteCar" w:customStyle="1">
    <w:name w:val="En-tête Car"/>
    <w:rPr>
      <w:sz w:val="24"/>
      <w:szCs w:val="24"/>
      <w:lang w:eastAsia="ar-SA"/>
    </w:rPr>
  </w:style>
  <w:style w:type="character" w:styleId="PieddepageCar" w:customStyle="1">
    <w:name w:val="Pied de page Car"/>
    <w:rPr>
      <w:sz w:val="24"/>
      <w:szCs w:val="24"/>
      <w:lang w:eastAsia="ar-SA"/>
    </w:rPr>
  </w:style>
  <w:style w:type="character" w:styleId="TextedebullesCar" w:customStyle="1">
    <w:name w:val="Texte de bulles Car"/>
    <w:rPr>
      <w:rFonts w:ascii="Segoe UI" w:hAnsi="Segoe UI" w:cs="Segoe UI"/>
      <w:sz w:val="18"/>
      <w:szCs w:val="18"/>
      <w:lang w:eastAsia="ar-SA"/>
    </w:rPr>
  </w:style>
  <w:style w:type="character" w:styleId="ListLabel1" w:customStyle="1">
    <w:name w:val="ListLabel 1"/>
    <w:rPr>
      <w:rFonts w:cs="Arial"/>
    </w:rPr>
  </w:style>
  <w:style w:type="character" w:styleId="ListLabel2" w:customStyle="1">
    <w:name w:val="ListLabel 2"/>
    <w:rPr>
      <w:rFonts w:cs="Arial"/>
    </w:rPr>
  </w:style>
  <w:style w:type="character" w:styleId="ListLabel3" w:customStyle="1">
    <w:name w:val="ListLabel 3"/>
    <w:rPr>
      <w:rFonts w:cs="Wingdings"/>
    </w:rPr>
  </w:style>
  <w:style w:type="character" w:styleId="ListLabel4">
    <w:name w:val="ListLabel 4"/>
    <w:rPr>
      <w:rFonts w:cs="Arial"/>
    </w:rPr>
  </w:style>
  <w:style w:type="character" w:styleId="ListLabel5">
    <w:name w:val="ListLabel 5"/>
    <w:rPr>
      <w:rFonts w:cs="Wingdings"/>
    </w:rPr>
  </w:style>
  <w:style w:type="character" w:styleId="ListLabel6">
    <w:name w:val="ListLabel 6"/>
    <w:rPr>
      <w:rFonts w:cs="Arial"/>
    </w:rPr>
  </w:style>
  <w:style w:type="character" w:styleId="ListLabel7">
    <w:name w:val="ListLabel 7"/>
    <w:rPr>
      <w:rFonts w:cs="Wingdings"/>
    </w:rPr>
  </w:style>
  <w:style w:type="character" w:styleId="ListLabel8">
    <w:name w:val="ListLabel 8"/>
    <w:rPr>
      <w:rFonts w:cs="Arial"/>
    </w:rPr>
  </w:style>
  <w:style w:type="character" w:styleId="ListLabel9">
    <w:name w:val="ListLabel 9"/>
    <w:rPr>
      <w:rFonts w:cs="Wingding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20"/>
    </w:pPr>
    <w:rPr/>
  </w:style>
  <w:style w:type="paragraph" w:styleId="Liste">
    <w:name w:val="Liste"/>
    <w:basedOn w:val="Corpsdetexte"/>
    <w:pPr/>
    <w:rPr>
      <w:rFonts w:ascii="Verdana" w:hAnsi="Verdana" w:cs="Tahoma"/>
    </w:rPr>
  </w:style>
  <w:style w:type="paragraph" w:styleId="Lgende">
    <w:name w:val="Légende"/>
    <w:basedOn w:val="Normal"/>
    <w:pPr>
      <w:suppressLineNumbers/>
      <w:spacing w:before="120" w:after="120"/>
    </w:pPr>
    <w:rPr>
      <w:rFonts w:ascii="Verdana" w:hAnsi="Verdana" w:cs="Mangal"/>
      <w:i/>
      <w:iCs/>
      <w:sz w:val="24"/>
      <w:szCs w:val="24"/>
    </w:rPr>
  </w:style>
  <w:style w:type="paragraph" w:styleId="Index" w:customStyle="1">
    <w:name w:val="Index"/>
    <w:basedOn w:val="Normal"/>
    <w:pPr>
      <w:suppressLineNumbers/>
    </w:pPr>
    <w:rPr>
      <w:rFonts w:ascii="Verdana" w:hAnsi="Verdana" w:cs="Tahoma"/>
    </w:rPr>
  </w:style>
  <w:style w:type="paragraph" w:styleId="Titreprincipal">
    <w:name w:val="Titre principal"/>
    <w:basedOn w:val="Normal"/>
    <w:pPr>
      <w:keepNext/>
      <w:spacing w:before="240" w:after="120"/>
    </w:pPr>
    <w:rPr>
      <w:rFonts w:ascii="Arial" w:hAnsi="Arial" w:eastAsia="Microsoft YaHei" w:cs="Mangal"/>
      <w:sz w:val="28"/>
      <w:szCs w:val="28"/>
    </w:rPr>
  </w:style>
  <w:style w:type="paragraph" w:styleId="Caption">
    <w:name w:val="caption"/>
    <w:basedOn w:val="Normal"/>
    <w:pPr>
      <w:suppressLineNumbers/>
      <w:spacing w:before="120" w:after="120"/>
    </w:pPr>
    <w:rPr>
      <w:rFonts w:cs="Mangal"/>
      <w:i/>
      <w:iCs/>
    </w:rPr>
  </w:style>
  <w:style w:type="paragraph" w:styleId="Titre1" w:customStyle="1">
    <w:name w:val="Titre1"/>
    <w:basedOn w:val="Normal"/>
    <w:pPr>
      <w:keepNext/>
      <w:spacing w:before="240" w:after="120"/>
    </w:pPr>
    <w:rPr>
      <w:rFonts w:ascii="Arial" w:hAnsi="Arial" w:eastAsia="Lucida Sans Unicode" w:cs="Tahoma"/>
      <w:sz w:val="28"/>
      <w:szCs w:val="28"/>
    </w:rPr>
  </w:style>
  <w:style w:type="paragraph" w:styleId="Lgende1" w:customStyle="1">
    <w:name w:val="Légende1"/>
    <w:basedOn w:val="Normal"/>
    <w:pPr>
      <w:suppressLineNumbers/>
      <w:spacing w:before="120" w:after="120"/>
    </w:pPr>
    <w:rPr>
      <w:rFonts w:cs="Tahoma"/>
      <w:i/>
      <w:iCs/>
    </w:rPr>
  </w:style>
  <w:style w:type="paragraph" w:styleId="Parag01" w:customStyle="1">
    <w:name w:val="parag01"/>
    <w:basedOn w:val="Normal"/>
    <w:pPr>
      <w:tabs>
        <w:tab w:val="left" w:pos="6804" w:leader="dot"/>
        <w:tab w:val="right" w:pos="8505" w:leader="none"/>
      </w:tabs>
      <w:overflowPunct w:val="true"/>
      <w:spacing w:before="120" w:after="120"/>
      <w:jc w:val="both"/>
    </w:pPr>
    <w:rPr>
      <w:rFonts w:ascii="Arial" w:hAnsi="Arial"/>
      <w:sz w:val="22"/>
      <w:szCs w:val="20"/>
    </w:rPr>
  </w:style>
  <w:style w:type="paragraph" w:styleId="Contenudetableau" w:customStyle="1">
    <w:name w:val="Contenu de tableau"/>
    <w:basedOn w:val="Normal"/>
    <w:pPr>
      <w:suppressLineNumbers/>
    </w:pPr>
    <w:rPr/>
  </w:style>
  <w:style w:type="paragraph" w:styleId="Titredetableau" w:customStyle="1">
    <w:name w:val="Titre de tableau"/>
    <w:basedOn w:val="Contenudetableau"/>
    <w:pPr>
      <w:jc w:val="center"/>
    </w:pPr>
    <w:rPr>
      <w:b/>
      <w:bCs/>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BalloonText">
    <w:name w:val="Balloon Text"/>
    <w:basedOn w:val="Normal"/>
    <w:pPr/>
    <w:rPr>
      <w:rFonts w:ascii="Segoe UI" w:hAnsi="Segoe UI" w:cs="Segoe UI"/>
      <w:sz w:val="18"/>
      <w:szCs w:val="18"/>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Application>LibreOffice/4.3.6.2$Windows_x86 LibreOffice_project/d50a87b2e514536ed401c18000dad4660b6a169e</Application>
  <Paragraphs>170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2016-08-29T15:26:00Z</dcterms:created>
  <dc:creator>Chantal</dc:creator>
  <dc:language>fr-FR</dc:language>
  <cp:lastPrinted>2016-07-01T07:51:00Z</cp:lastPrinted>
  <dcterms:modified xsi:type="dcterms:W3CDTF">2016-09-02T15:13:14Z</dcterms:modified>
  <cp:revision>5</cp:revision>
  <dc:title>Appel à projet</dc:title>
</cp:coreProperties>
</file>