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3BA5" w:rsidRPr="00A81D92" w:rsidRDefault="00B83BA5">
      <w:pPr>
        <w:pStyle w:val="Titre"/>
        <w:rPr>
          <w:color w:val="auto"/>
        </w:rPr>
      </w:pPr>
      <w:r w:rsidRPr="00A81D92">
        <w:rPr>
          <w:rStyle w:val="lev"/>
          <w:color w:val="auto"/>
        </w:rPr>
        <w:t xml:space="preserve">MODE D’EMPLOI DU FORMULAIRE DEDIE AUX COMMISSIONS SCIENTIFIQUES REGIONALES DES COLLECTIONS DES MUSEES DE FRANCE COMPETENTES </w:t>
      </w:r>
      <w:r w:rsidR="004716E9">
        <w:rPr>
          <w:rStyle w:val="lev"/>
          <w:color w:val="auto"/>
        </w:rPr>
        <w:br/>
      </w:r>
      <w:bookmarkStart w:id="0" w:name="_GoBack"/>
      <w:bookmarkEnd w:id="0"/>
      <w:r w:rsidRPr="00A81D92">
        <w:rPr>
          <w:rStyle w:val="lev"/>
          <w:color w:val="auto"/>
        </w:rPr>
        <w:t>EN CONSERVATION-RESTAURATION</w:t>
      </w:r>
    </w:p>
    <w:p w:rsidR="00B83BA5" w:rsidRDefault="00B83BA5"/>
    <w:p w:rsidR="00B83BA5" w:rsidRPr="00B83BA5" w:rsidRDefault="00B83BA5">
      <w:pPr>
        <w:jc w:val="both"/>
        <w:rPr>
          <w:bCs/>
          <w:color w:val="000000"/>
        </w:rPr>
      </w:pPr>
      <w:r>
        <w:rPr>
          <w:b/>
          <w:bCs/>
        </w:rPr>
        <w:t xml:space="preserve">* Cadre : </w:t>
      </w:r>
      <w:r w:rsidRPr="00B83BA5">
        <w:rPr>
          <w:color w:val="000000"/>
        </w:rPr>
        <w:t xml:space="preserve">si le cadre n'est pas </w:t>
      </w:r>
      <w:r w:rsidRPr="00B83BA5">
        <w:rPr>
          <w:bCs/>
          <w:color w:val="000000"/>
        </w:rPr>
        <w:t>inscrit à l’inventaire, préciser, autant que possible, dans la rubrique « statut » s'il s'agit d'un élément orignal</w:t>
      </w:r>
      <w:r w:rsidR="006842A0">
        <w:rPr>
          <w:bCs/>
          <w:color w:val="000000"/>
        </w:rPr>
        <w:t xml:space="preserve"> </w:t>
      </w:r>
      <w:r w:rsidR="00504FCF">
        <w:rPr>
          <w:bCs/>
          <w:color w:val="000000"/>
        </w:rPr>
        <w:t>ou</w:t>
      </w:r>
      <w:r w:rsidRPr="00B83BA5">
        <w:rPr>
          <w:bCs/>
          <w:color w:val="000000"/>
        </w:rPr>
        <w:t xml:space="preserve"> associé à l’œuvre depuis son origine.</w:t>
      </w:r>
    </w:p>
    <w:p w:rsidR="00B83BA5" w:rsidRDefault="00B83BA5">
      <w:pPr>
        <w:jc w:val="both"/>
        <w:rPr>
          <w:bCs/>
        </w:rPr>
      </w:pPr>
    </w:p>
    <w:p w:rsidR="00B83BA5" w:rsidRDefault="00B83BA5">
      <w:pPr>
        <w:jc w:val="both"/>
        <w:rPr>
          <w:bCs/>
          <w:i/>
          <w:u w:val="single"/>
        </w:rPr>
      </w:pPr>
      <w:r>
        <w:rPr>
          <w:b/>
          <w:bCs/>
        </w:rPr>
        <w:t xml:space="preserve">* Cahier des charges : </w:t>
      </w:r>
      <w:r>
        <w:rPr>
          <w:bCs/>
        </w:rPr>
        <w:t xml:space="preserve">il s’agit du descriptif des interventions, argumenté et rédigé </w:t>
      </w:r>
      <w:r>
        <w:rPr>
          <w:b/>
          <w:bCs/>
        </w:rPr>
        <w:t>par le responsable scientifique des collections</w:t>
      </w:r>
      <w:r>
        <w:rPr>
          <w:bCs/>
        </w:rPr>
        <w:t>. Il ne s’agit pas d’une reprise de la proposition du restaurateur.</w:t>
      </w:r>
      <w:r w:rsidR="00E5237B">
        <w:rPr>
          <w:bCs/>
        </w:rPr>
        <w:t xml:space="preserve"> Ce sont les motivations et le projet du musée quant à l’opération qui ont attendus ici</w:t>
      </w:r>
    </w:p>
    <w:p w:rsidR="00B83BA5" w:rsidRDefault="00B83BA5">
      <w:pPr>
        <w:jc w:val="both"/>
        <w:rPr>
          <w:bCs/>
          <w:i/>
          <w:u w:val="single"/>
        </w:rPr>
      </w:pPr>
    </w:p>
    <w:p w:rsidR="00B83BA5" w:rsidRDefault="00B83BA5">
      <w:pPr>
        <w:jc w:val="both"/>
        <w:rPr>
          <w:bCs/>
        </w:rPr>
      </w:pPr>
      <w:r>
        <w:rPr>
          <w:bCs/>
          <w:i/>
          <w:u w:val="single"/>
        </w:rPr>
        <w:t>Pour les interventions de conservation préventive, le cahier des charges comprend</w:t>
      </w:r>
      <w:r w:rsidRPr="00142623">
        <w:rPr>
          <w:bCs/>
          <w:i/>
        </w:rPr>
        <w:t> :</w:t>
      </w:r>
    </w:p>
    <w:p w:rsidR="00B83BA5" w:rsidRDefault="00B83BA5">
      <w:pPr>
        <w:jc w:val="both"/>
        <w:rPr>
          <w:bCs/>
        </w:rPr>
      </w:pPr>
      <w:r>
        <w:rPr>
          <w:bCs/>
        </w:rPr>
        <w:t>- l’énoncé de l’objectif principal de l’intervention,</w:t>
      </w:r>
    </w:p>
    <w:p w:rsidR="00B83BA5" w:rsidRDefault="00B83BA5">
      <w:pPr>
        <w:jc w:val="both"/>
        <w:rPr>
          <w:bCs/>
        </w:rPr>
      </w:pPr>
      <w:r>
        <w:rPr>
          <w:bCs/>
        </w:rPr>
        <w:t>- des éléments permettant d’apprécier l’intégration de l’intervention dans la politique de gestion des collections du musée,</w:t>
      </w:r>
    </w:p>
    <w:p w:rsidR="00B83BA5" w:rsidRDefault="00B83BA5">
      <w:pPr>
        <w:jc w:val="both"/>
        <w:rPr>
          <w:bCs/>
        </w:rPr>
      </w:pPr>
      <w:r>
        <w:rPr>
          <w:bCs/>
        </w:rPr>
        <w:t>- le type de collections concernées, leur spécificité, leur quantité,</w:t>
      </w:r>
    </w:p>
    <w:p w:rsidR="00B83BA5" w:rsidRDefault="00B83BA5">
      <w:pPr>
        <w:jc w:val="both"/>
        <w:rPr>
          <w:bCs/>
        </w:rPr>
      </w:pPr>
      <w:r>
        <w:rPr>
          <w:bCs/>
        </w:rPr>
        <w:t>- les caractéristiques des lieux et des espaces concernés,</w:t>
      </w:r>
    </w:p>
    <w:p w:rsidR="00B83BA5" w:rsidRDefault="00B83BA5">
      <w:pPr>
        <w:jc w:val="both"/>
        <w:rPr>
          <w:bCs/>
        </w:rPr>
      </w:pPr>
      <w:r>
        <w:rPr>
          <w:bCs/>
        </w:rPr>
        <w:t>- les principales caractéristiques de l’intervention,</w:t>
      </w:r>
    </w:p>
    <w:p w:rsidR="00B83BA5" w:rsidRDefault="00B83BA5">
      <w:pPr>
        <w:jc w:val="both"/>
        <w:rPr>
          <w:bCs/>
        </w:rPr>
      </w:pPr>
      <w:r>
        <w:rPr>
          <w:bCs/>
        </w:rPr>
        <w:t>- les éventuelles mesures d’accompagnement (formation du personnel par exemple),</w:t>
      </w:r>
    </w:p>
    <w:p w:rsidR="00B83BA5" w:rsidRDefault="00B83BA5">
      <w:pPr>
        <w:jc w:val="both"/>
        <w:rPr>
          <w:bCs/>
        </w:rPr>
      </w:pPr>
      <w:r>
        <w:rPr>
          <w:bCs/>
        </w:rPr>
        <w:t>- les mesures de suivi engagées après l’intervention.</w:t>
      </w:r>
    </w:p>
    <w:p w:rsidR="00B83BA5" w:rsidRDefault="00B83BA5">
      <w:pPr>
        <w:jc w:val="both"/>
        <w:rPr>
          <w:bCs/>
        </w:rPr>
      </w:pPr>
    </w:p>
    <w:p w:rsidR="00B83BA5" w:rsidRDefault="00B83BA5">
      <w:pPr>
        <w:jc w:val="both"/>
        <w:rPr>
          <w:bCs/>
        </w:rPr>
      </w:pPr>
      <w:r>
        <w:rPr>
          <w:bCs/>
          <w:i/>
          <w:u w:val="single"/>
        </w:rPr>
        <w:t>Pour les interventions de restauration, le cahier des charges comprend</w:t>
      </w:r>
      <w:r w:rsidRPr="00FD2E30">
        <w:rPr>
          <w:bCs/>
          <w:i/>
        </w:rPr>
        <w:t> :</w:t>
      </w:r>
    </w:p>
    <w:p w:rsidR="00B83BA5" w:rsidRDefault="00B83BA5">
      <w:pPr>
        <w:jc w:val="both"/>
        <w:rPr>
          <w:bCs/>
        </w:rPr>
      </w:pPr>
      <w:r>
        <w:rPr>
          <w:bCs/>
        </w:rPr>
        <w:t>- l’énoncé de l’objectif principal de l’intervention,</w:t>
      </w:r>
    </w:p>
    <w:p w:rsidR="00B83BA5" w:rsidRDefault="00B83BA5">
      <w:pPr>
        <w:jc w:val="both"/>
        <w:rPr>
          <w:bCs/>
        </w:rPr>
      </w:pPr>
      <w:r>
        <w:rPr>
          <w:bCs/>
        </w:rPr>
        <w:t>- le contexte de l’intervention,</w:t>
      </w:r>
    </w:p>
    <w:p w:rsidR="00B83BA5" w:rsidRDefault="00B83BA5">
      <w:pPr>
        <w:jc w:val="both"/>
        <w:rPr>
          <w:bCs/>
        </w:rPr>
      </w:pPr>
      <w:r>
        <w:rPr>
          <w:bCs/>
        </w:rPr>
        <w:t>- des éléments permettant d’apprécier l’intégration de l’intervention dans la politique de gestion des collections du musée,</w:t>
      </w:r>
    </w:p>
    <w:p w:rsidR="00B83BA5" w:rsidRDefault="00B83BA5">
      <w:pPr>
        <w:jc w:val="both"/>
        <w:rPr>
          <w:bCs/>
        </w:rPr>
      </w:pPr>
      <w:r>
        <w:rPr>
          <w:bCs/>
        </w:rPr>
        <w:t>- l’état général du bien,</w:t>
      </w:r>
    </w:p>
    <w:p w:rsidR="00B83BA5" w:rsidRDefault="00B83BA5">
      <w:pPr>
        <w:jc w:val="both"/>
        <w:rPr>
          <w:bCs/>
        </w:rPr>
      </w:pPr>
      <w:r>
        <w:rPr>
          <w:bCs/>
        </w:rPr>
        <w:t>- le degré d’intervention souhaité,</w:t>
      </w:r>
    </w:p>
    <w:p w:rsidR="00B83BA5" w:rsidRDefault="00B83BA5">
      <w:pPr>
        <w:jc w:val="both"/>
        <w:rPr>
          <w:b/>
          <w:bCs/>
        </w:rPr>
      </w:pPr>
      <w:r>
        <w:rPr>
          <w:bCs/>
        </w:rPr>
        <w:t>- les conditions de conservation ou de présentation du bien après l’intervention.</w:t>
      </w:r>
    </w:p>
    <w:p w:rsidR="00B83BA5" w:rsidRDefault="00B83BA5">
      <w:pPr>
        <w:jc w:val="both"/>
        <w:rPr>
          <w:b/>
          <w:bCs/>
        </w:rPr>
      </w:pPr>
    </w:p>
    <w:p w:rsidR="00B83BA5" w:rsidRPr="00FD2E30" w:rsidRDefault="00B83BA5">
      <w:pPr>
        <w:jc w:val="both"/>
        <w:rPr>
          <w:bCs/>
          <w:i/>
        </w:rPr>
      </w:pPr>
      <w:r>
        <w:rPr>
          <w:bCs/>
        </w:rPr>
        <w:t xml:space="preserve">Pour plus de précisions au sujet du cahier des charges, se reporter au Vademecum </w:t>
      </w:r>
      <w:r>
        <w:rPr>
          <w:b/>
          <w:bCs/>
          <w:i/>
        </w:rPr>
        <w:t>LE CAHIER DES CHARGES EN CONSERVATION-RESTAURATION</w:t>
      </w:r>
      <w:r w:rsidR="00FD2E30">
        <w:rPr>
          <w:b/>
          <w:bCs/>
        </w:rPr>
        <w:t>, C2RMF, 2016</w:t>
      </w:r>
      <w:r w:rsidR="00FD2E30" w:rsidRPr="00FD2E30">
        <w:rPr>
          <w:bCs/>
        </w:rPr>
        <w:t xml:space="preserve"> </w:t>
      </w:r>
      <w:r>
        <w:rPr>
          <w:bCs/>
          <w:sz w:val="16"/>
          <w:szCs w:val="16"/>
        </w:rPr>
        <w:t>(</w:t>
      </w:r>
      <w:r>
        <w:rPr>
          <w:bCs/>
          <w:i/>
          <w:sz w:val="16"/>
          <w:szCs w:val="16"/>
        </w:rPr>
        <w:t>en cours d’actualisation)</w:t>
      </w:r>
    </w:p>
    <w:p w:rsidR="00B83BA5" w:rsidRPr="00FD2E30" w:rsidRDefault="00B83BA5">
      <w:pPr>
        <w:jc w:val="both"/>
        <w:rPr>
          <w:bCs/>
          <w:i/>
        </w:rPr>
      </w:pPr>
    </w:p>
    <w:p w:rsidR="00B83BA5" w:rsidRDefault="00B83BA5">
      <w:pPr>
        <w:spacing w:after="120"/>
        <w:jc w:val="both"/>
      </w:pPr>
      <w:r>
        <w:rPr>
          <w:b/>
        </w:rPr>
        <w:t>*</w:t>
      </w:r>
      <w:r w:rsidR="00FD2E30">
        <w:rPr>
          <w:b/>
        </w:rPr>
        <w:t xml:space="preserve"> </w:t>
      </w:r>
      <w:r>
        <w:rPr>
          <w:b/>
        </w:rPr>
        <w:t>Chantier des collections :</w:t>
      </w:r>
      <w:r>
        <w:t xml:space="preserve"> dans le cadre de la rénovation ou de la reconstruction d’un musée, ce terme s’applique au processus co</w:t>
      </w:r>
      <w:r w:rsidR="00FD2E30">
        <w:t>mportant les étapes suivantes :</w:t>
      </w:r>
    </w:p>
    <w:p w:rsidR="00B83BA5" w:rsidRDefault="00B83BA5">
      <w:pPr>
        <w:numPr>
          <w:ilvl w:val="0"/>
          <w:numId w:val="2"/>
        </w:numPr>
        <w:jc w:val="both"/>
      </w:pPr>
      <w:r>
        <w:t>récolement des collections</w:t>
      </w:r>
      <w:r w:rsidR="003479BE">
        <w:t>,</w:t>
      </w:r>
    </w:p>
    <w:p w:rsidR="00B83BA5" w:rsidRDefault="00B83BA5">
      <w:pPr>
        <w:numPr>
          <w:ilvl w:val="0"/>
          <w:numId w:val="2"/>
        </w:numPr>
        <w:jc w:val="both"/>
      </w:pPr>
      <w:r>
        <w:t>désinsectisation des objets organiques</w:t>
      </w:r>
      <w:r w:rsidR="003479BE">
        <w:t>,</w:t>
      </w:r>
    </w:p>
    <w:p w:rsidR="00B83BA5" w:rsidRDefault="00B83BA5">
      <w:pPr>
        <w:numPr>
          <w:ilvl w:val="0"/>
          <w:numId w:val="2"/>
        </w:numPr>
        <w:jc w:val="both"/>
      </w:pPr>
      <w:r>
        <w:t>dépoussiérage</w:t>
      </w:r>
      <w:r w:rsidR="003479BE">
        <w:t>,</w:t>
      </w:r>
    </w:p>
    <w:p w:rsidR="00B83BA5" w:rsidRDefault="00B83BA5">
      <w:pPr>
        <w:numPr>
          <w:ilvl w:val="0"/>
          <w:numId w:val="2"/>
        </w:numPr>
        <w:jc w:val="both"/>
      </w:pPr>
      <w:r>
        <w:t>mesures d’urgence</w:t>
      </w:r>
      <w:r w:rsidR="003479BE">
        <w:t>,</w:t>
      </w:r>
    </w:p>
    <w:p w:rsidR="00B83BA5" w:rsidRDefault="00B83BA5">
      <w:pPr>
        <w:numPr>
          <w:ilvl w:val="0"/>
          <w:numId w:val="2"/>
        </w:numPr>
        <w:jc w:val="both"/>
      </w:pPr>
      <w:r>
        <w:t>photographie</w:t>
      </w:r>
      <w:r w:rsidR="003479BE">
        <w:t>,</w:t>
      </w:r>
    </w:p>
    <w:p w:rsidR="00B83BA5" w:rsidRDefault="00B83BA5">
      <w:pPr>
        <w:numPr>
          <w:ilvl w:val="0"/>
          <w:numId w:val="2"/>
        </w:numPr>
        <w:jc w:val="both"/>
      </w:pPr>
      <w:r>
        <w:t>conditionnement</w:t>
      </w:r>
      <w:r w:rsidR="003479BE">
        <w:t>,</w:t>
      </w:r>
    </w:p>
    <w:p w:rsidR="00B83BA5" w:rsidRDefault="00B83BA5">
      <w:pPr>
        <w:numPr>
          <w:ilvl w:val="0"/>
          <w:numId w:val="2"/>
        </w:numPr>
        <w:jc w:val="both"/>
      </w:pPr>
      <w:r>
        <w:t>transfert</w:t>
      </w:r>
      <w:r w:rsidR="003479BE">
        <w:t>,</w:t>
      </w:r>
    </w:p>
    <w:p w:rsidR="00B83BA5" w:rsidRDefault="00B83BA5">
      <w:pPr>
        <w:numPr>
          <w:ilvl w:val="0"/>
          <w:numId w:val="2"/>
        </w:numPr>
        <w:spacing w:after="120"/>
        <w:ind w:left="833" w:hanging="357"/>
        <w:jc w:val="both"/>
      </w:pPr>
      <w:r>
        <w:t>installation dans le nouve</w:t>
      </w:r>
      <w:r w:rsidR="00FD2E30">
        <w:t>au lieu (expositions, réserves).</w:t>
      </w:r>
    </w:p>
    <w:p w:rsidR="00B83BA5" w:rsidRPr="00FD2E30" w:rsidRDefault="00B83BA5">
      <w:pPr>
        <w:jc w:val="both"/>
        <w:rPr>
          <w:szCs w:val="16"/>
        </w:rPr>
      </w:pPr>
      <w:r>
        <w:t xml:space="preserve">Placée sous la responsabilité du directeur du projet, cette opération délicate par le nombre et la variété des collections à traiter est confiée à une équipe pluridisciplinaire (ingénieurs, </w:t>
      </w:r>
      <w:r w:rsidR="00E5237B">
        <w:t xml:space="preserve">préventistes, </w:t>
      </w:r>
      <w:r>
        <w:t>responsables scientifiques des collections, régisseurs, restaurateurs, photographes, emballeurs, installateurs). Elle sous-entend des études de faisabilité, un calendrier, des opérateurs, des équipements, enfin des moyens financiers (de 2 à 10 % du budget total d’une opération de rénovation ou de construction, selon l’état des collections).</w:t>
      </w:r>
    </w:p>
    <w:p w:rsidR="00B83BA5" w:rsidRPr="003479BE" w:rsidRDefault="00B83BA5">
      <w:pPr>
        <w:jc w:val="both"/>
        <w:rPr>
          <w:bCs/>
        </w:rPr>
      </w:pPr>
      <w:r>
        <w:rPr>
          <w:i/>
          <w:sz w:val="16"/>
          <w:szCs w:val="16"/>
        </w:rPr>
        <w:lastRenderedPageBreak/>
        <w:t xml:space="preserve">Source : C2RMF, Vademecum de la conservation préventive, </w:t>
      </w:r>
      <w:r w:rsidRPr="003479BE">
        <w:rPr>
          <w:i/>
          <w:sz w:val="16"/>
          <w:szCs w:val="16"/>
        </w:rPr>
        <w:t>2006</w:t>
      </w:r>
    </w:p>
    <w:p w:rsidR="00B83BA5" w:rsidRPr="003479BE" w:rsidRDefault="00B83BA5">
      <w:pPr>
        <w:jc w:val="both"/>
        <w:rPr>
          <w:bCs/>
        </w:rPr>
      </w:pPr>
    </w:p>
    <w:p w:rsidR="00B83BA5" w:rsidRDefault="00B83BA5">
      <w:pPr>
        <w:jc w:val="both"/>
      </w:pPr>
      <w:r>
        <w:rPr>
          <w:b/>
        </w:rPr>
        <w:t>*</w:t>
      </w:r>
      <w:r w:rsidR="00FD2E30">
        <w:rPr>
          <w:b/>
        </w:rPr>
        <w:t xml:space="preserve"> </w:t>
      </w:r>
      <w:r>
        <w:rPr>
          <w:b/>
        </w:rPr>
        <w:t xml:space="preserve">Contraintes particulières : </w:t>
      </w:r>
      <w:r>
        <w:t xml:space="preserve">les interventions en restauration et en conservation préventives peuvent exposer les restaurateurs et le personnel du musée à différents risques, qu’il convient d’anticiper : </w:t>
      </w:r>
    </w:p>
    <w:p w:rsidR="00B83BA5" w:rsidRDefault="00B83BA5">
      <w:pPr>
        <w:jc w:val="both"/>
      </w:pPr>
      <w:r>
        <w:t>- manutention d’objets lourds, travail en hauteur, chaleur, luminosité intense/insuffisante, travail en extérieur, etc.</w:t>
      </w:r>
    </w:p>
    <w:p w:rsidR="00B83BA5" w:rsidRDefault="00B83BA5">
      <w:pPr>
        <w:jc w:val="both"/>
        <w:rPr>
          <w:b/>
        </w:rPr>
      </w:pPr>
      <w:r>
        <w:t>- inhalation de produits toxiques, y compris provenant des collections.</w:t>
      </w:r>
    </w:p>
    <w:p w:rsidR="00B83BA5" w:rsidRDefault="00B83BA5">
      <w:pPr>
        <w:jc w:val="both"/>
        <w:rPr>
          <w:b/>
        </w:rPr>
      </w:pPr>
    </w:p>
    <w:p w:rsidR="00B83BA5" w:rsidRDefault="00B83BA5">
      <w:pPr>
        <w:jc w:val="both"/>
      </w:pPr>
      <w:r>
        <w:rPr>
          <w:b/>
        </w:rPr>
        <w:t>*</w:t>
      </w:r>
      <w:r w:rsidR="00FD2E30">
        <w:rPr>
          <w:b/>
        </w:rPr>
        <w:t xml:space="preserve"> </w:t>
      </w:r>
      <w:r>
        <w:rPr>
          <w:b/>
        </w:rPr>
        <w:t xml:space="preserve">Comité scientifique de suivi : </w:t>
      </w:r>
      <w:r>
        <w:t>dans le cadre d’un projet d’ampleur ou concernant une œuvre importante, la constitution d’un comité scientifique est recommandée. Ce comité, constitué d’experts issus de différents domaines, apportera un regard extérieur permettant d’évaluer, d’analyser le projet et de conseiller le responsable de la collection concernée.</w:t>
      </w:r>
      <w:r w:rsidR="00E5237B">
        <w:t xml:space="preserve"> Il ne se substitue pas à la Commission scientifique régionale, qui est seule habilitée à valider par son vote les projets de conservation-préventive ou de restauration. </w:t>
      </w:r>
    </w:p>
    <w:p w:rsidR="00B83BA5" w:rsidRDefault="00B83BA5">
      <w:pPr>
        <w:jc w:val="both"/>
      </w:pPr>
    </w:p>
    <w:p w:rsidR="00B83BA5" w:rsidRDefault="00B83BA5">
      <w:pPr>
        <w:jc w:val="both"/>
      </w:pPr>
      <w:r w:rsidRPr="003479BE">
        <w:rPr>
          <w:b/>
        </w:rPr>
        <w:t>* Demande de subvention :</w:t>
      </w:r>
      <w:r w:rsidRPr="003479BE">
        <w:t xml:space="preserve"> après avoir obtenu l’avis favorable de la commission, un dossier spécifique de demande peut être constitué puis transmis au Service des musées de la DRAC.</w:t>
      </w:r>
    </w:p>
    <w:p w:rsidR="00D73247" w:rsidRDefault="00D73247">
      <w:pPr>
        <w:jc w:val="both"/>
      </w:pPr>
      <w:r>
        <w:t>Le plan de financement définitif sera alors transmis à la DRAC.</w:t>
      </w:r>
    </w:p>
    <w:p w:rsidR="00D73247" w:rsidRDefault="003479BE" w:rsidP="00D73247">
      <w:pPr>
        <w:rPr>
          <w:color w:val="2F5597"/>
          <w:lang w:eastAsia="en-US"/>
        </w:rPr>
      </w:pPr>
      <w:r w:rsidRPr="00D73247">
        <w:t>PIECES A JOINDRE :</w:t>
      </w:r>
      <w:r w:rsidR="00D73247">
        <w:t xml:space="preserve"> se reporter au site de la DRAC Grand Est : </w:t>
      </w:r>
      <w:hyperlink r:id="rId7" w:history="1">
        <w:r w:rsidR="00D73247">
          <w:rPr>
            <w:rStyle w:val="Lienhypertexte"/>
            <w:color w:val="2F5597"/>
          </w:rPr>
          <w:t>https://www.culture.gouv.fr/Regions/Drac-Grand-Est/aides/subventions</w:t>
        </w:r>
      </w:hyperlink>
    </w:p>
    <w:p w:rsidR="00D73247" w:rsidRPr="00D73247" w:rsidRDefault="00D73247">
      <w:pPr>
        <w:jc w:val="both"/>
      </w:pPr>
    </w:p>
    <w:p w:rsidR="00B83BA5" w:rsidRDefault="00B83BA5">
      <w:pPr>
        <w:jc w:val="both"/>
      </w:pPr>
      <w:r>
        <w:t>*</w:t>
      </w:r>
      <w:r>
        <w:rPr>
          <w:b/>
        </w:rPr>
        <w:t>Lot d’œuvres</w:t>
      </w:r>
      <w:r>
        <w:t> : si votre dossier concerne un lot d’œuvres, merci d’utiliser le tableau ci-dessous et de le joindre au formulaire :</w:t>
      </w:r>
    </w:p>
    <w:p w:rsidR="00B83BA5" w:rsidRDefault="00B83BA5">
      <w:pPr>
        <w:jc w:val="both"/>
      </w:pPr>
    </w:p>
    <w:tbl>
      <w:tblPr>
        <w:tblW w:w="0" w:type="auto"/>
        <w:tblInd w:w="35" w:type="dxa"/>
        <w:tblLayout w:type="fixed"/>
        <w:tblCellMar>
          <w:top w:w="55" w:type="dxa"/>
          <w:left w:w="55" w:type="dxa"/>
          <w:bottom w:w="55" w:type="dxa"/>
          <w:right w:w="55" w:type="dxa"/>
        </w:tblCellMar>
        <w:tblLook w:val="0000" w:firstRow="0" w:lastRow="0" w:firstColumn="0" w:lastColumn="0" w:noHBand="0" w:noVBand="0"/>
      </w:tblPr>
      <w:tblGrid>
        <w:gridCol w:w="1858"/>
        <w:gridCol w:w="2622"/>
        <w:gridCol w:w="2490"/>
        <w:gridCol w:w="2280"/>
      </w:tblGrid>
      <w:tr w:rsidR="00B83BA5">
        <w:tc>
          <w:tcPr>
            <w:tcW w:w="1858"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r>
              <w:rPr>
                <w:b/>
                <w:bCs/>
                <w:sz w:val="20"/>
              </w:rPr>
              <w:t>N° Inventaire</w:t>
            </w:r>
          </w:p>
        </w:tc>
        <w:tc>
          <w:tcPr>
            <w:tcW w:w="2622"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r>
              <w:rPr>
                <w:b/>
                <w:bCs/>
                <w:sz w:val="20"/>
              </w:rPr>
              <w:t>Titre</w:t>
            </w:r>
          </w:p>
        </w:tc>
        <w:tc>
          <w:tcPr>
            <w:tcW w:w="2490" w:type="dxa"/>
            <w:tcBorders>
              <w:top w:val="single" w:sz="4" w:space="0" w:color="000000"/>
              <w:left w:val="single" w:sz="4" w:space="0" w:color="000000"/>
              <w:bottom w:val="single" w:sz="4" w:space="0" w:color="000000"/>
            </w:tcBorders>
            <w:shd w:val="clear" w:color="auto" w:fill="FFC000"/>
          </w:tcPr>
          <w:p w:rsidR="00B83BA5" w:rsidRDefault="00B83BA5">
            <w:pPr>
              <w:pStyle w:val="Contenudetableau"/>
              <w:jc w:val="both"/>
              <w:rPr>
                <w:b/>
                <w:bCs/>
                <w:sz w:val="20"/>
              </w:rPr>
            </w:pPr>
            <w:r>
              <w:rPr>
                <w:b/>
                <w:bCs/>
                <w:sz w:val="20"/>
              </w:rPr>
              <w:t>Matériaux techniques</w:t>
            </w:r>
          </w:p>
        </w:tc>
        <w:tc>
          <w:tcPr>
            <w:tcW w:w="2280" w:type="dxa"/>
            <w:tcBorders>
              <w:top w:val="single" w:sz="4" w:space="0" w:color="000000"/>
              <w:left w:val="single" w:sz="4" w:space="0" w:color="000000"/>
              <w:bottom w:val="single" w:sz="4" w:space="0" w:color="000000"/>
              <w:right w:val="single" w:sz="4" w:space="0" w:color="000000"/>
            </w:tcBorders>
            <w:shd w:val="clear" w:color="auto" w:fill="FFC000"/>
          </w:tcPr>
          <w:p w:rsidR="00B83BA5" w:rsidRDefault="00B83BA5">
            <w:pPr>
              <w:pStyle w:val="Contenudetableau"/>
              <w:jc w:val="both"/>
            </w:pPr>
            <w:r>
              <w:rPr>
                <w:b/>
                <w:bCs/>
                <w:sz w:val="20"/>
              </w:rPr>
              <w:t>Dimension H. L. D. P.</w:t>
            </w:r>
          </w:p>
        </w:tc>
      </w:tr>
      <w:tr w:rsidR="00B83BA5">
        <w:tc>
          <w:tcPr>
            <w:tcW w:w="1858"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tc>
          <w:tcPr>
            <w:tcW w:w="1858"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tc>
          <w:tcPr>
            <w:tcW w:w="1858"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r w:rsidR="00B83BA5">
        <w:tc>
          <w:tcPr>
            <w:tcW w:w="1858"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i/>
                <w:iCs/>
                <w:color w:val="000000"/>
                <w:sz w:val="20"/>
              </w:rPr>
            </w:pPr>
          </w:p>
        </w:tc>
        <w:tc>
          <w:tcPr>
            <w:tcW w:w="2622"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490" w:type="dxa"/>
            <w:tcBorders>
              <w:top w:val="single" w:sz="4" w:space="0" w:color="000000"/>
              <w:left w:val="single" w:sz="4" w:space="0" w:color="000000"/>
              <w:bottom w:val="single" w:sz="4" w:space="0" w:color="000000"/>
            </w:tcBorders>
            <w:shd w:val="clear" w:color="auto" w:fill="auto"/>
          </w:tcPr>
          <w:p w:rsidR="00B83BA5" w:rsidRDefault="00B83BA5">
            <w:pPr>
              <w:pStyle w:val="Contenudetableau"/>
              <w:snapToGrid w:val="0"/>
              <w:jc w:val="both"/>
              <w:rPr>
                <w:sz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pStyle w:val="Contenudetableau"/>
              <w:snapToGrid w:val="0"/>
              <w:jc w:val="both"/>
              <w:rPr>
                <w:sz w:val="20"/>
              </w:rPr>
            </w:pPr>
          </w:p>
        </w:tc>
      </w:tr>
    </w:tbl>
    <w:p w:rsidR="00B83BA5" w:rsidRDefault="00B83BA5">
      <w:pPr>
        <w:jc w:val="both"/>
        <w:rPr>
          <w:b/>
        </w:rPr>
      </w:pPr>
    </w:p>
    <w:p w:rsidR="00B83BA5" w:rsidRDefault="003479BE">
      <w:pPr>
        <w:jc w:val="both"/>
      </w:pPr>
      <w:r>
        <w:rPr>
          <w:b/>
        </w:rPr>
        <w:t>* Photographies des œuvres :</w:t>
      </w:r>
    </w:p>
    <w:p w:rsidR="00B83BA5" w:rsidRDefault="00B83BA5">
      <w:pPr>
        <w:jc w:val="both"/>
        <w:rPr>
          <w:iCs/>
        </w:rPr>
      </w:pPr>
      <w:r>
        <w:t xml:space="preserve">Joindre à votre formulaire </w:t>
      </w:r>
      <w:r>
        <w:rPr>
          <w:b/>
        </w:rPr>
        <w:t>des photographies légendées</w:t>
      </w:r>
      <w:r>
        <w:t xml:space="preserve"> (en fichier séparé, résolution de 200 dpi minimum). </w:t>
      </w:r>
      <w:r>
        <w:rPr>
          <w:iCs/>
        </w:rPr>
        <w:t>Une sélection raisonnée d’images doit être proposée.</w:t>
      </w:r>
    </w:p>
    <w:p w:rsidR="00B83BA5" w:rsidRDefault="00B83BA5">
      <w:pPr>
        <w:jc w:val="both"/>
        <w:rPr>
          <w:iCs/>
        </w:rPr>
      </w:pPr>
      <w:r>
        <w:rPr>
          <w:iCs/>
        </w:rPr>
        <w:t>Ces images servent à l’instruction du dossier et sont projetées lors de la réunion de la commission.</w:t>
      </w:r>
    </w:p>
    <w:p w:rsidR="00B83BA5" w:rsidRDefault="00B83BA5">
      <w:pPr>
        <w:jc w:val="both"/>
        <w:rPr>
          <w:iCs/>
        </w:rPr>
      </w:pPr>
      <w:r>
        <w:rPr>
          <w:iCs/>
        </w:rPr>
        <w:t>Les photographies générales et de détails pour les altérations doivent rendre les désordres et problématiques clairement visi</w:t>
      </w:r>
      <w:r w:rsidR="003479BE">
        <w:rPr>
          <w:iCs/>
        </w:rPr>
        <w:t>bles et en permettre l'analyse.</w:t>
      </w:r>
    </w:p>
    <w:p w:rsidR="00B83BA5" w:rsidRDefault="00B83BA5">
      <w:pPr>
        <w:jc w:val="both"/>
        <w:rPr>
          <w:b/>
          <w:bCs/>
        </w:rPr>
      </w:pPr>
      <w:r>
        <w:rPr>
          <w:iCs/>
        </w:rPr>
        <w:t>Pour les peintures </w:t>
      </w:r>
      <w:r w:rsidRPr="00B83BA5">
        <w:rPr>
          <w:iCs/>
          <w:color w:val="000000"/>
        </w:rPr>
        <w:t>: joindre une vue de face et de revers, si possible œuvre décadrée.</w:t>
      </w:r>
    </w:p>
    <w:p w:rsidR="00B83BA5" w:rsidRDefault="00B83BA5">
      <w:pPr>
        <w:jc w:val="both"/>
        <w:rPr>
          <w:b/>
          <w:bCs/>
        </w:rPr>
      </w:pPr>
    </w:p>
    <w:p w:rsidR="00B83BA5" w:rsidRDefault="00B83BA5">
      <w:r>
        <w:rPr>
          <w:b/>
        </w:rPr>
        <w:t>*</w:t>
      </w:r>
      <w:r w:rsidR="003479BE">
        <w:rPr>
          <w:b/>
        </w:rPr>
        <w:t xml:space="preserve"> </w:t>
      </w:r>
      <w:r>
        <w:rPr>
          <w:b/>
        </w:rPr>
        <w:t xml:space="preserve">Plan de conservation préventive : </w:t>
      </w:r>
      <w:r>
        <w:t>ensemble programmé d’opérations, défini et mis en œuvre à la suite d’une étude, pour assurer sur le long terme une conservation adaptée aux collections.</w:t>
      </w:r>
    </w:p>
    <w:p w:rsidR="003479BE" w:rsidRDefault="00B83BA5">
      <w:r>
        <w:t>Les trois axes principaux d’un plan de conservation préventive sont :</w:t>
      </w:r>
    </w:p>
    <w:p w:rsidR="00415B70" w:rsidRDefault="00B83BA5">
      <w:r>
        <w:t>- le contrôle de l’environnement (climat, lumière)</w:t>
      </w:r>
      <w:r w:rsidR="00415B70">
        <w:t>,</w:t>
      </w:r>
    </w:p>
    <w:p w:rsidR="00415B70" w:rsidRDefault="00B83BA5">
      <w:r>
        <w:t>- la formation du personnel</w:t>
      </w:r>
      <w:r w:rsidR="00415B70">
        <w:t>,</w:t>
      </w:r>
    </w:p>
    <w:p w:rsidR="00B83BA5" w:rsidRDefault="00B83BA5">
      <w:r>
        <w:t>- le plan d’urgence.</w:t>
      </w:r>
    </w:p>
    <w:p w:rsidR="00B83BA5" w:rsidRDefault="00B83BA5">
      <w:pPr>
        <w:jc w:val="both"/>
      </w:pPr>
    </w:p>
    <w:p w:rsidR="00B83BA5" w:rsidRDefault="00B83BA5">
      <w:pPr>
        <w:jc w:val="both"/>
      </w:pPr>
      <w:r>
        <w:t>Le plan de conservation préventive peut constituer une annexe du PSC de l’établissement. Sa mise en place est facilitée par l’avancée du récolement décennal, qui permet une meilleure connaissance des collections et une évaluation de leur état sanitaire.</w:t>
      </w:r>
    </w:p>
    <w:p w:rsidR="00B83BA5" w:rsidRDefault="00B83BA5">
      <w:pPr>
        <w:jc w:val="both"/>
      </w:pPr>
    </w:p>
    <w:p w:rsidR="00B83BA5" w:rsidRDefault="00B83BA5">
      <w:pPr>
        <w:jc w:val="both"/>
      </w:pPr>
      <w:r>
        <w:lastRenderedPageBreak/>
        <w:t>Le C2RMF met à disposition sur son site internet un outil d'auto-évaluation en conservation préventive (</w:t>
      </w:r>
      <w:hyperlink r:id="rId8" w:history="1">
        <w:r>
          <w:rPr>
            <w:rStyle w:val="Lienhypertexte"/>
          </w:rPr>
          <w:t>https://oscar.outil.culture.fr/oscar_outil</w:t>
        </w:r>
      </w:hyperlink>
      <w:r>
        <w:t>), permettant de faire un bilan rapide et général du domaine, tout en indiquant les priorités d'une politique globale de conservation à l'échelle du musée.</w:t>
      </w:r>
    </w:p>
    <w:p w:rsidR="00415B70" w:rsidRDefault="00415B70">
      <w:pPr>
        <w:jc w:val="both"/>
        <w:rPr>
          <w:b/>
        </w:rPr>
      </w:pPr>
    </w:p>
    <w:p w:rsidR="00B83BA5" w:rsidRPr="00415B70" w:rsidRDefault="00B83BA5">
      <w:pPr>
        <w:jc w:val="both"/>
        <w:rPr>
          <w:b/>
        </w:rPr>
      </w:pPr>
      <w:r>
        <w:rPr>
          <w:b/>
        </w:rPr>
        <w:t xml:space="preserve">* Présentation du cahier des charges : </w:t>
      </w:r>
      <w:r>
        <w:rPr>
          <w:color w:val="000000"/>
          <w:szCs w:val="22"/>
        </w:rPr>
        <w:t>possibilité proposée aux musées dans le cadre de projets spécifiques ou de grande ampleur (chantier des collections).</w:t>
      </w:r>
    </w:p>
    <w:p w:rsidR="00B83BA5" w:rsidRDefault="00B83BA5">
      <w:pPr>
        <w:jc w:val="both"/>
        <w:rPr>
          <w:b/>
          <w:bCs/>
        </w:rPr>
      </w:pPr>
    </w:p>
    <w:p w:rsidR="00B83BA5" w:rsidRDefault="00B83BA5">
      <w:pPr>
        <w:jc w:val="both"/>
      </w:pPr>
      <w:r>
        <w:rPr>
          <w:b/>
        </w:rPr>
        <w:t xml:space="preserve">* Qualifications du prestataire retenu pour une intervention de restauration : </w:t>
      </w:r>
      <w:r>
        <w:t>le prestataire doit être habilité à travailler pour les Musées de France, répondant aux critères du Code du Patrimoine (Titre V – article L. 452.1 ; décret n°2002-628 du 25 avril 2002 – article 13 modifié par le décret n°2011-217 du 25 février 2011).</w:t>
      </w:r>
    </w:p>
    <w:p w:rsidR="00B83BA5" w:rsidRDefault="00B83BA5">
      <w:pPr>
        <w:jc w:val="both"/>
        <w:rPr>
          <w:bCs/>
        </w:rPr>
      </w:pPr>
      <w:r>
        <w:t xml:space="preserve">Son expérience dans le domaine de la conservation et de la restauration, ainsi que pour des interventions similaires est à prendre en considération. Le prestataire travaille dans un atelier </w:t>
      </w:r>
      <w:r>
        <w:rPr>
          <w:bCs/>
        </w:rPr>
        <w:t>protégé contre l’incendie, sécurisé et assuré selon des modalités décrites dans ses documents méthodologiques.</w:t>
      </w:r>
    </w:p>
    <w:p w:rsidR="00B83BA5" w:rsidRDefault="00B83BA5">
      <w:pPr>
        <w:jc w:val="both"/>
        <w:rPr>
          <w:bCs/>
        </w:rPr>
      </w:pPr>
    </w:p>
    <w:p w:rsidR="00B83BA5" w:rsidRDefault="00B83BA5">
      <w:pPr>
        <w:pageBreakBefore/>
        <w:jc w:val="both"/>
        <w:rPr>
          <w:b/>
        </w:rPr>
      </w:pPr>
      <w:r>
        <w:rPr>
          <w:b/>
          <w:bCs/>
        </w:rPr>
        <w:lastRenderedPageBreak/>
        <w:t>INFORMATIONS RELATIVES AUX DEVIS D’INTERVENTIONS DE RESTAURATION ET CONSERVATION PREVENTIVE</w:t>
      </w:r>
    </w:p>
    <w:p w:rsidR="00415B70" w:rsidRDefault="00415B70">
      <w:pPr>
        <w:jc w:val="both"/>
      </w:pPr>
    </w:p>
    <w:p w:rsidR="00B83BA5" w:rsidRDefault="00B83BA5">
      <w:pPr>
        <w:jc w:val="both"/>
      </w:pPr>
      <w:r>
        <w:t>La qualité du devis est essentielle pour l'évaluation des dossiers. Les éléments d’information qui doive</w:t>
      </w:r>
      <w:r w:rsidR="00415B70">
        <w:t>nt y figurer sont les suivants :</w:t>
      </w:r>
    </w:p>
    <w:p w:rsidR="00B83BA5" w:rsidRDefault="00B83BA5">
      <w:pPr>
        <w:jc w:val="both"/>
      </w:pPr>
    </w:p>
    <w:p w:rsidR="00B83BA5" w:rsidRPr="00415B70" w:rsidRDefault="00B83BA5">
      <w:pPr>
        <w:jc w:val="both"/>
      </w:pPr>
      <w:r>
        <w:rPr>
          <w:u w:val="single"/>
        </w:rPr>
        <w:t>Pour la propos</w:t>
      </w:r>
      <w:r w:rsidR="00415B70">
        <w:rPr>
          <w:u w:val="single"/>
        </w:rPr>
        <w:t>ition technique d'intervention</w:t>
      </w:r>
      <w:r w:rsidR="00415B70" w:rsidRPr="00415B70">
        <w:t> </w:t>
      </w:r>
      <w:r w:rsidR="00415B70">
        <w:t>:</w:t>
      </w:r>
    </w:p>
    <w:p w:rsidR="00B83BA5" w:rsidRDefault="00B83BA5">
      <w:pPr>
        <w:jc w:val="both"/>
      </w:pPr>
      <w:r>
        <w:t>- le descriptif technique de l'œuvre, le constat d’état et le diagnostic,</w:t>
      </w:r>
    </w:p>
    <w:p w:rsidR="00B83BA5" w:rsidRDefault="00B83BA5">
      <w:pPr>
        <w:jc w:val="both"/>
      </w:pPr>
      <w:r>
        <w:t>- le protocole et la méthodologie spécifiques à l'intervention, avec indication des produits utilisés ou susceptibles d'être employés,</w:t>
      </w:r>
    </w:p>
    <w:p w:rsidR="00B83BA5" w:rsidRDefault="00B83BA5">
      <w:pPr>
        <w:jc w:val="both"/>
      </w:pPr>
      <w:r>
        <w:t>- le niveau de rédaction et l’argumentaire du devis doivent être proportionnels à la complexité des cas à traiter.</w:t>
      </w:r>
    </w:p>
    <w:p w:rsidR="00B83BA5" w:rsidRDefault="00B83BA5">
      <w:pPr>
        <w:jc w:val="both"/>
      </w:pPr>
    </w:p>
    <w:p w:rsidR="00B83BA5" w:rsidRPr="00415B70" w:rsidRDefault="00415B70">
      <w:pPr>
        <w:jc w:val="both"/>
      </w:pPr>
      <w:r>
        <w:rPr>
          <w:u w:val="single"/>
        </w:rPr>
        <w:t>Pour la fiche financière</w:t>
      </w:r>
      <w:r w:rsidRPr="00415B70">
        <w:t> </w:t>
      </w:r>
      <w:r>
        <w:t>:</w:t>
      </w:r>
    </w:p>
    <w:p w:rsidR="00B83BA5" w:rsidRDefault="00B83BA5">
      <w:pPr>
        <w:jc w:val="both"/>
      </w:pPr>
      <w:r>
        <w:t>- le coût horaire ou journalier du/des intervenants,</w:t>
      </w:r>
    </w:p>
    <w:p w:rsidR="00B83BA5" w:rsidRDefault="00B83BA5">
      <w:pPr>
        <w:jc w:val="both"/>
      </w:pPr>
      <w:r>
        <w:t>- le phasage de l'opération et les temps d’intervention correspondants (devis poste par poste),</w:t>
      </w:r>
    </w:p>
    <w:p w:rsidR="00B83BA5" w:rsidRDefault="00B83BA5">
      <w:pPr>
        <w:jc w:val="both"/>
      </w:pPr>
      <w:r>
        <w:t>- le coût spécifique du rapport d'intervention ou des livrables.</w:t>
      </w:r>
    </w:p>
    <w:p w:rsidR="00B83BA5" w:rsidRDefault="00B83BA5">
      <w:pPr>
        <w:jc w:val="both"/>
      </w:pPr>
    </w:p>
    <w:p w:rsidR="00B83BA5" w:rsidRDefault="00B83BA5">
      <w:pPr>
        <w:jc w:val="both"/>
      </w:pPr>
      <w:r>
        <w:t xml:space="preserve"> </w:t>
      </w:r>
      <w:r>
        <w:rPr>
          <w:u w:val="single"/>
        </w:rPr>
        <w:t>Autres éléments à préciser :</w:t>
      </w:r>
    </w:p>
    <w:p w:rsidR="00B83BA5" w:rsidRDefault="00B83BA5">
      <w:pPr>
        <w:jc w:val="both"/>
      </w:pPr>
      <w:r>
        <w:t>- en cas de transport des œuvres : qui s'en charge ? Des interventions préalables sont-elles nécessaires (protections, conditionnements spécifiques) ? Assurance et coût éventuel ?</w:t>
      </w:r>
    </w:p>
    <w:p w:rsidR="00B83BA5" w:rsidRDefault="00B83BA5">
      <w:pPr>
        <w:jc w:val="both"/>
        <w:rPr>
          <w:b/>
        </w:rPr>
      </w:pPr>
      <w:r>
        <w:t>- la note technique de présentation de l'atelier et assurance (pour les interventions en ateliers privés).</w:t>
      </w:r>
    </w:p>
    <w:p w:rsidR="00B83BA5" w:rsidRDefault="00B83BA5">
      <w:pPr>
        <w:jc w:val="both"/>
        <w:rPr>
          <w:b/>
        </w:rPr>
      </w:pPr>
    </w:p>
    <w:p w:rsidR="00B83BA5" w:rsidRDefault="00B83BA5">
      <w:pPr>
        <w:jc w:val="both"/>
        <w:rPr>
          <w:b/>
        </w:rPr>
      </w:pPr>
      <w:r>
        <w:rPr>
          <w:b/>
        </w:rPr>
        <w:t xml:space="preserve">EXEMPLE DE </w:t>
      </w:r>
      <w:r w:rsidRPr="00B83BA5">
        <w:rPr>
          <w:b/>
          <w:color w:val="000000"/>
        </w:rPr>
        <w:t>FICHE FINANCIERE</w:t>
      </w:r>
      <w:r>
        <w:rPr>
          <w:b/>
        </w:rPr>
        <w:t> :</w:t>
      </w:r>
    </w:p>
    <w:p w:rsidR="00B83BA5" w:rsidRDefault="00B83BA5">
      <w:pPr>
        <w:jc w:val="both"/>
        <w:rPr>
          <w:b/>
        </w:rPr>
      </w:pPr>
    </w:p>
    <w:p w:rsidR="00B83BA5" w:rsidRDefault="00415B70">
      <w:pPr>
        <w:jc w:val="both"/>
      </w:pPr>
      <w:r>
        <w:t>Préciser le tarif horaire :</w:t>
      </w:r>
    </w:p>
    <w:p w:rsidR="00B83BA5" w:rsidRDefault="00B83BA5">
      <w:pPr>
        <w:jc w:val="both"/>
      </w:pPr>
    </w:p>
    <w:tbl>
      <w:tblPr>
        <w:tblW w:w="0" w:type="auto"/>
        <w:tblInd w:w="-22" w:type="dxa"/>
        <w:tblLayout w:type="fixed"/>
        <w:tblCellMar>
          <w:top w:w="55" w:type="dxa"/>
          <w:left w:w="55" w:type="dxa"/>
          <w:bottom w:w="55" w:type="dxa"/>
          <w:right w:w="55" w:type="dxa"/>
        </w:tblCellMar>
        <w:tblLook w:val="0000" w:firstRow="0" w:lastRow="0" w:firstColumn="0" w:lastColumn="0" w:noHBand="0" w:noVBand="0"/>
      </w:tblPr>
      <w:tblGrid>
        <w:gridCol w:w="4270"/>
        <w:gridCol w:w="2977"/>
        <w:gridCol w:w="2008"/>
      </w:tblGrid>
      <w:tr w:rsidR="00B83BA5" w:rsidTr="0025469E">
        <w:tc>
          <w:tcPr>
            <w:tcW w:w="4270" w:type="dxa"/>
            <w:tcBorders>
              <w:top w:val="single" w:sz="4" w:space="0" w:color="000000"/>
              <w:left w:val="single" w:sz="4" w:space="0" w:color="000000"/>
              <w:bottom w:val="single" w:sz="4" w:space="0" w:color="000000"/>
            </w:tcBorders>
            <w:shd w:val="clear" w:color="auto" w:fill="FFC000"/>
          </w:tcPr>
          <w:p w:rsidR="00B83BA5" w:rsidRDefault="00B83BA5">
            <w:pPr>
              <w:snapToGrid w:val="0"/>
              <w:jc w:val="both"/>
              <w:rPr>
                <w:sz w:val="20"/>
              </w:rPr>
            </w:pPr>
          </w:p>
          <w:p w:rsidR="00B83BA5" w:rsidRDefault="00B83BA5">
            <w:pPr>
              <w:jc w:val="both"/>
              <w:rPr>
                <w:sz w:val="20"/>
              </w:rPr>
            </w:pPr>
            <w:r>
              <w:rPr>
                <w:sz w:val="20"/>
              </w:rPr>
              <w:t>Prestations</w:t>
            </w:r>
          </w:p>
        </w:tc>
        <w:tc>
          <w:tcPr>
            <w:tcW w:w="2977" w:type="dxa"/>
            <w:tcBorders>
              <w:top w:val="single" w:sz="4" w:space="0" w:color="000000"/>
              <w:left w:val="single" w:sz="4" w:space="0" w:color="000000"/>
              <w:bottom w:val="single" w:sz="4" w:space="0" w:color="000000"/>
            </w:tcBorders>
            <w:shd w:val="clear" w:color="auto" w:fill="FFC000"/>
          </w:tcPr>
          <w:p w:rsidR="00B83BA5" w:rsidRDefault="00B83BA5">
            <w:pPr>
              <w:jc w:val="both"/>
              <w:rPr>
                <w:sz w:val="20"/>
              </w:rPr>
            </w:pPr>
            <w:r>
              <w:rPr>
                <w:sz w:val="20"/>
              </w:rPr>
              <w:t>Nombres d’heures d’intervention / Tarif horaire</w:t>
            </w:r>
          </w:p>
        </w:tc>
        <w:tc>
          <w:tcPr>
            <w:tcW w:w="2008" w:type="dxa"/>
            <w:tcBorders>
              <w:top w:val="single" w:sz="4" w:space="0" w:color="000000"/>
              <w:left w:val="single" w:sz="4" w:space="0" w:color="000000"/>
              <w:bottom w:val="single" w:sz="4" w:space="0" w:color="000000"/>
              <w:right w:val="single" w:sz="4" w:space="0" w:color="000000"/>
            </w:tcBorders>
            <w:shd w:val="clear" w:color="auto" w:fill="FFC000"/>
          </w:tcPr>
          <w:p w:rsidR="00B83BA5" w:rsidRDefault="00B83BA5">
            <w:pPr>
              <w:snapToGrid w:val="0"/>
              <w:jc w:val="both"/>
              <w:rPr>
                <w:sz w:val="20"/>
              </w:rPr>
            </w:pPr>
          </w:p>
          <w:p w:rsidR="00B83BA5" w:rsidRDefault="00B83BA5">
            <w:pPr>
              <w:jc w:val="both"/>
            </w:pPr>
            <w:r>
              <w:rPr>
                <w:sz w:val="20"/>
              </w:rPr>
              <w:t>Montant en €</w:t>
            </w:r>
          </w:p>
        </w:tc>
      </w:tr>
      <w:tr w:rsidR="00B83BA5">
        <w:tc>
          <w:tcPr>
            <w:tcW w:w="9255" w:type="dxa"/>
            <w:gridSpan w:val="3"/>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Nom de l’œuvre :</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Opérations (à détailler)</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Rapport de traitement</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snapToGrid w:val="0"/>
              <w:jc w:val="both"/>
            </w:pP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Coût fournitures</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snapToGrid w:val="0"/>
              <w:jc w:val="both"/>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25469E">
            <w:pPr>
              <w:jc w:val="both"/>
            </w:pPr>
            <w:r>
              <w:t>Transport Aller-Retour</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Assurance</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Frais de déplacement et d’hébergement</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25469E">
        <w:tc>
          <w:tcPr>
            <w:tcW w:w="4270" w:type="dxa"/>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Sous total </w:t>
            </w:r>
          </w:p>
        </w:tc>
        <w:tc>
          <w:tcPr>
            <w:tcW w:w="2977" w:type="dxa"/>
            <w:tcBorders>
              <w:top w:val="single" w:sz="4" w:space="0" w:color="000000"/>
              <w:left w:val="single" w:sz="4" w:space="0" w:color="000000"/>
              <w:bottom w:val="single" w:sz="4" w:space="0" w:color="000000"/>
            </w:tcBorders>
            <w:shd w:val="clear" w:color="auto" w:fill="auto"/>
          </w:tcPr>
          <w:p w:rsidR="00B83BA5" w:rsidRDefault="00B83BA5">
            <w:pPr>
              <w:jc w:val="both"/>
            </w:pPr>
            <w:r>
              <w:t>HT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415B70">
        <w:tc>
          <w:tcPr>
            <w:tcW w:w="7247" w:type="dxa"/>
            <w:gridSpan w:val="2"/>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                               </w:t>
            </w:r>
            <w:r w:rsidR="0025469E">
              <w:t xml:space="preserve">                        TVA    </w:t>
            </w:r>
            <w:r>
              <w:t>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r w:rsidR="00B83BA5" w:rsidTr="00415B70">
        <w:tc>
          <w:tcPr>
            <w:tcW w:w="7247" w:type="dxa"/>
            <w:gridSpan w:val="2"/>
            <w:tcBorders>
              <w:top w:val="single" w:sz="4" w:space="0" w:color="000000"/>
              <w:left w:val="single" w:sz="4" w:space="0" w:color="000000"/>
              <w:bottom w:val="single" w:sz="4" w:space="0" w:color="000000"/>
            </w:tcBorders>
            <w:shd w:val="clear" w:color="auto" w:fill="auto"/>
          </w:tcPr>
          <w:p w:rsidR="00B83BA5" w:rsidRDefault="00B83BA5">
            <w:pPr>
              <w:jc w:val="both"/>
            </w:pPr>
            <w:r>
              <w:t xml:space="preserve">                                                       TTC</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B83BA5" w:rsidRDefault="00B83BA5">
            <w:pPr>
              <w:jc w:val="both"/>
            </w:pPr>
            <w:r>
              <w:t>€</w:t>
            </w:r>
          </w:p>
        </w:tc>
      </w:tr>
    </w:tbl>
    <w:p w:rsidR="00B83BA5" w:rsidRDefault="00B83BA5">
      <w:pPr>
        <w:jc w:val="both"/>
      </w:pPr>
    </w:p>
    <w:sectPr w:rsidR="00B83BA5">
      <w:footerReference w:type="default" r:id="rId9"/>
      <w:pgSz w:w="11906" w:h="16838"/>
      <w:pgMar w:top="1134" w:right="1134" w:bottom="1417" w:left="1134" w:header="720" w:footer="113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880" w:rsidRDefault="00A06880">
      <w:pPr>
        <w:spacing w:line="240" w:lineRule="auto"/>
      </w:pPr>
      <w:r>
        <w:separator/>
      </w:r>
    </w:p>
  </w:endnote>
  <w:endnote w:type="continuationSeparator" w:id="0">
    <w:p w:rsidR="00A06880" w:rsidRDefault="00A06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15">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A5" w:rsidRDefault="00B83BA5">
    <w:pPr>
      <w:pStyle w:val="Pieddepage"/>
      <w:jc w:val="cente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4716E9">
      <w:rPr>
        <w:b/>
        <w:bCs/>
        <w:noProof/>
        <w:sz w:val="16"/>
        <w:szCs w:val="16"/>
      </w:rPr>
      <w:t>1</w:t>
    </w:r>
    <w:r>
      <w:rPr>
        <w:b/>
        <w:bCs/>
        <w:sz w:val="16"/>
        <w:szCs w:val="16"/>
      </w:rPr>
      <w:fldChar w:fldCharType="end"/>
    </w:r>
    <w:r>
      <w:rPr>
        <w:sz w:val="16"/>
        <w:szCs w:val="16"/>
      </w:rPr>
      <w:t xml:space="preserve"> sur </w:t>
    </w:r>
    <w:r>
      <w:rPr>
        <w:b/>
        <w:bCs/>
        <w:sz w:val="16"/>
        <w:szCs w:val="16"/>
      </w:rPr>
      <w:fldChar w:fldCharType="begin"/>
    </w:r>
    <w:r>
      <w:rPr>
        <w:b/>
        <w:bCs/>
        <w:sz w:val="16"/>
        <w:szCs w:val="16"/>
      </w:rPr>
      <w:instrText xml:space="preserve"> NUMPAGES \*Arabic </w:instrText>
    </w:r>
    <w:r>
      <w:rPr>
        <w:b/>
        <w:bCs/>
        <w:sz w:val="16"/>
        <w:szCs w:val="16"/>
      </w:rPr>
      <w:fldChar w:fldCharType="separate"/>
    </w:r>
    <w:r w:rsidR="004716E9">
      <w:rPr>
        <w:b/>
        <w:bCs/>
        <w:noProof/>
        <w:sz w:val="16"/>
        <w:szCs w:val="16"/>
      </w:rPr>
      <w:t>4</w:t>
    </w:r>
    <w:r>
      <w:rPr>
        <w:b/>
        <w:bCs/>
        <w:sz w:val="16"/>
        <w:szCs w:val="16"/>
      </w:rPr>
      <w:fldChar w:fldCharType="end"/>
    </w:r>
  </w:p>
  <w:p w:rsidR="00B83BA5" w:rsidRDefault="00B83B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880" w:rsidRDefault="00A06880">
      <w:pPr>
        <w:spacing w:line="240" w:lineRule="auto"/>
      </w:pPr>
      <w:r>
        <w:separator/>
      </w:r>
    </w:p>
  </w:footnote>
  <w:footnote w:type="continuationSeparator" w:id="0">
    <w:p w:rsidR="00A06880" w:rsidRDefault="00A068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b/>
        <w:bCs/>
        <w:sz w:val="26"/>
        <w:szCs w:val="26"/>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835" w:hanging="360"/>
      </w:pPr>
      <w:rPr>
        <w:rFonts w:ascii="Wingdings" w:hAnsi="Wingdings"/>
        <w:b/>
        <w:bCs/>
        <w:sz w:val="26"/>
        <w:szCs w:val="2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F"/>
    <w:rsid w:val="00142623"/>
    <w:rsid w:val="0025469E"/>
    <w:rsid w:val="00312CFD"/>
    <w:rsid w:val="003479BE"/>
    <w:rsid w:val="00415B70"/>
    <w:rsid w:val="004716E9"/>
    <w:rsid w:val="00504FCF"/>
    <w:rsid w:val="006842A0"/>
    <w:rsid w:val="00823EAF"/>
    <w:rsid w:val="00A06880"/>
    <w:rsid w:val="00A81D92"/>
    <w:rsid w:val="00B83BA5"/>
    <w:rsid w:val="00BA48C8"/>
    <w:rsid w:val="00BB2D21"/>
    <w:rsid w:val="00C82453"/>
    <w:rsid w:val="00D04552"/>
    <w:rsid w:val="00D73247"/>
    <w:rsid w:val="00E5237B"/>
    <w:rsid w:val="00FD2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FA2673"/>
  <w15:chartTrackingRefBased/>
  <w15:docId w15:val="{0D41B2A8-37A4-40F1-8FF8-196EF48D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rFonts w:ascii="Calibri" w:hAnsi="Calibri" w:cs="Calibri"/>
      <w:sz w:val="22"/>
      <w:lang w:eastAsia="ar-SA"/>
    </w:rPr>
  </w:style>
  <w:style w:type="paragraph" w:styleId="Titre1">
    <w:name w:val="heading 1"/>
    <w:basedOn w:val="Titre10"/>
    <w:next w:val="Corpsdetexte"/>
    <w:qFormat/>
    <w:pPr>
      <w:numPr>
        <w:numId w:val="1"/>
      </w:numPr>
      <w:shd w:val="clear" w:color="auto" w:fill="FFC000"/>
      <w:tabs>
        <w:tab w:val="left" w:pos="0"/>
      </w:tabs>
      <w:outlineLvl w:val="0"/>
    </w:pPr>
    <w:rPr>
      <w:rFonts w:ascii="Calibri Light" w:eastAsia="SimSun" w:hAnsi="Calibri Light" w:cs="Times New Roman"/>
      <w:b/>
      <w:color w:val="FFFFFF"/>
    </w:rPr>
  </w:style>
  <w:style w:type="paragraph" w:styleId="Titre2">
    <w:name w:val="heading 2"/>
    <w:basedOn w:val="Titre10"/>
    <w:next w:val="Corpsdetexte"/>
    <w:qFormat/>
    <w:pPr>
      <w:numPr>
        <w:ilvl w:val="1"/>
        <w:numId w:val="1"/>
      </w:numPr>
      <w:spacing w:after="60"/>
      <w:outlineLvl w:val="1"/>
    </w:pPr>
    <w:rPr>
      <w:rFonts w:ascii="Arial" w:eastAsia="SimSun" w:hAnsi="Arial" w:cs="Times New Roman"/>
      <w:b/>
      <w:caps/>
      <w:sz w:val="20"/>
    </w:rPr>
  </w:style>
  <w:style w:type="paragraph" w:styleId="Titre3">
    <w:name w:val="heading 3"/>
    <w:basedOn w:val="Normal"/>
    <w:next w:val="Corpsdetexte"/>
    <w:qFormat/>
    <w:pPr>
      <w:numPr>
        <w:ilvl w:val="2"/>
        <w:numId w:val="1"/>
      </w:numPr>
      <w:tabs>
        <w:tab w:val="left" w:pos="720"/>
      </w:tabs>
      <w:spacing w:before="120"/>
      <w:outlineLvl w:val="2"/>
    </w:pPr>
    <w:rPr>
      <w:rFonts w:eastAsia="SimSun"/>
      <w:b/>
      <w:caps/>
      <w:sz w:val="20"/>
    </w:rPr>
  </w:style>
  <w:style w:type="paragraph" w:styleId="Titre4">
    <w:name w:val="heading 4"/>
    <w:basedOn w:val="Normal"/>
    <w:next w:val="Corpsdetexte"/>
    <w:qFormat/>
    <w:pPr>
      <w:keepNext/>
      <w:numPr>
        <w:ilvl w:val="3"/>
        <w:numId w:val="1"/>
      </w:numPr>
      <w:tabs>
        <w:tab w:val="left" w:pos="1440"/>
      </w:tabs>
      <w:outlineLvl w:val="3"/>
    </w:pPr>
    <w:rPr>
      <w:rFonts w:eastAsia="SimSun"/>
      <w:b/>
      <w:sz w:val="24"/>
    </w:rPr>
  </w:style>
  <w:style w:type="paragraph" w:styleId="Titre5">
    <w:name w:val="heading 5"/>
    <w:basedOn w:val="Normal"/>
    <w:next w:val="Corpsdetexte"/>
    <w:qFormat/>
    <w:pPr>
      <w:keepNext/>
      <w:numPr>
        <w:ilvl w:val="4"/>
        <w:numId w:val="1"/>
      </w:numPr>
      <w:jc w:val="center"/>
      <w:outlineLvl w:val="4"/>
    </w:pPr>
    <w:rPr>
      <w:rFonts w:eastAsia="SimSun"/>
      <w:b/>
      <w:sz w:val="32"/>
    </w:rPr>
  </w:style>
  <w:style w:type="paragraph" w:styleId="Titre6">
    <w:name w:val="heading 6"/>
    <w:basedOn w:val="Normal"/>
    <w:next w:val="Corpsdetexte"/>
    <w:qFormat/>
    <w:pPr>
      <w:keepNext/>
      <w:numPr>
        <w:ilvl w:val="5"/>
        <w:numId w:val="1"/>
      </w:numPr>
      <w:pBdr>
        <w:top w:val="single" w:sz="4" w:space="1" w:color="000000"/>
        <w:left w:val="single" w:sz="4" w:space="4" w:color="000000"/>
        <w:bottom w:val="single" w:sz="4" w:space="1" w:color="000000"/>
        <w:right w:val="single" w:sz="4" w:space="4" w:color="000000"/>
      </w:pBdr>
      <w:tabs>
        <w:tab w:val="left" w:pos="2160"/>
      </w:tabs>
      <w:outlineLvl w:val="5"/>
    </w:pPr>
    <w:rPr>
      <w:rFonts w:eastAsia="SimSun"/>
      <w:b/>
      <w:sz w:val="24"/>
      <w:u w:val="single"/>
    </w:rPr>
  </w:style>
  <w:style w:type="paragraph" w:styleId="Titre7">
    <w:name w:val="heading 7"/>
    <w:basedOn w:val="Normal"/>
    <w:next w:val="Corpsdetexte"/>
    <w:qFormat/>
    <w:pPr>
      <w:keepNext/>
      <w:numPr>
        <w:ilvl w:val="6"/>
        <w:numId w:val="1"/>
      </w:numPr>
      <w:tabs>
        <w:tab w:val="left" w:pos="540"/>
      </w:tabs>
      <w:outlineLvl w:val="6"/>
    </w:pPr>
    <w:rPr>
      <w:rFonts w:eastAsia="SimSun"/>
      <w:sz w:val="24"/>
    </w:rPr>
  </w:style>
  <w:style w:type="paragraph" w:styleId="Titre8">
    <w:name w:val="heading 8"/>
    <w:basedOn w:val="Normal"/>
    <w:next w:val="Corpsdetexte"/>
    <w:qFormat/>
    <w:pPr>
      <w:keepNext/>
      <w:widowControl w:val="0"/>
      <w:numPr>
        <w:ilvl w:val="7"/>
        <w:numId w:val="1"/>
      </w:numPr>
      <w:outlineLvl w:val="7"/>
    </w:pPr>
    <w:rPr>
      <w:rFonts w:eastAsia="SimSun"/>
      <w:sz w:val="24"/>
      <w:u w:val="single"/>
    </w:rPr>
  </w:style>
  <w:style w:type="paragraph" w:styleId="Titre9">
    <w:name w:val="heading 9"/>
    <w:basedOn w:val="Normal"/>
    <w:next w:val="Corpsdetexte"/>
    <w:qFormat/>
    <w:pPr>
      <w:keepNext/>
      <w:widowControl w:val="0"/>
      <w:numPr>
        <w:ilvl w:val="8"/>
        <w:numId w:val="1"/>
      </w:numPr>
      <w:tabs>
        <w:tab w:val="left" w:pos="720"/>
      </w:tabs>
      <w:outlineLvl w:val="8"/>
    </w:pPr>
    <w:rPr>
      <w:rFonts w:eastAsia="SimSun"/>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bCs/>
      <w:sz w:val="26"/>
      <w:szCs w:val="2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b/>
      <w:bCs/>
      <w:sz w:val="26"/>
      <w:szCs w:val="26"/>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Policepardfaut1">
    <w:name w:val="Police par défaut1"/>
  </w:style>
  <w:style w:type="character" w:customStyle="1" w:styleId="Puces">
    <w:name w:val="Puces"/>
    <w:rPr>
      <w:rFonts w:ascii="OpenSymbol" w:eastAsia="OpenSymbol" w:hAnsi="OpenSymbol" w:cs="OpenSymbol"/>
    </w:rPr>
  </w:style>
  <w:style w:type="character" w:customStyle="1" w:styleId="CorpsdetexteCar1">
    <w:name w:val="Corps de texte Car1"/>
    <w:rPr>
      <w:rFonts w:eastAsia="Times New Roman" w:cs="Times New Roman"/>
      <w:sz w:val="20"/>
      <w:szCs w:val="20"/>
      <w:lang w:val="fr-FR"/>
    </w:rPr>
  </w:style>
  <w:style w:type="character" w:customStyle="1" w:styleId="TitreCar1">
    <w:name w:val="Titre Car1"/>
    <w:rPr>
      <w:rFonts w:ascii="Cambria" w:eastAsia="Cambria" w:hAnsi="Cambria" w:cs="Cambria"/>
      <w:spacing w:val="-10"/>
      <w:kern w:val="1"/>
      <w:sz w:val="56"/>
      <w:szCs w:val="56"/>
      <w:lang w:val="fr-FR"/>
    </w:rPr>
  </w:style>
  <w:style w:type="character" w:customStyle="1" w:styleId="TitreCar">
    <w:name w:val="Titre Car"/>
    <w:rPr>
      <w:rFonts w:ascii="Calibri Light" w:eastAsia="SimSun" w:hAnsi="Calibri Light" w:cs="font315"/>
      <w:b/>
      <w:bCs/>
      <w:color w:val="FFFFFF"/>
      <w:spacing w:val="-10"/>
      <w:kern w:val="1"/>
      <w:sz w:val="32"/>
      <w:szCs w:val="56"/>
      <w:shd w:val="clear" w:color="auto" w:fill="FFC000"/>
    </w:rPr>
  </w:style>
  <w:style w:type="character" w:customStyle="1" w:styleId="CorpsdetexteCar">
    <w:name w:val="Corps de texte Car"/>
    <w:rPr>
      <w:rFonts w:ascii="Times New Roman" w:hAnsi="Times New Roman" w:cs="Times New Roman"/>
      <w:b/>
      <w:bCs/>
      <w:sz w:val="20"/>
      <w:szCs w:val="20"/>
      <w:lang w:val="fr-FR"/>
    </w:rPr>
  </w:style>
  <w:style w:type="character" w:customStyle="1" w:styleId="Titre2Car">
    <w:name w:val="Titre 2 Car"/>
    <w:rPr>
      <w:rFonts w:ascii="Arial" w:eastAsia="SimSun" w:hAnsi="Arial" w:cs="Arial"/>
      <w:b/>
      <w:caps/>
      <w:szCs w:val="28"/>
    </w:rPr>
  </w:style>
  <w:style w:type="character" w:customStyle="1" w:styleId="Titre1Car">
    <w:name w:val="Titre 1 Car"/>
    <w:rPr>
      <w:rFonts w:ascii="Calibri Light" w:eastAsia="SimSun" w:hAnsi="Calibri Light" w:cs="Calibri Light"/>
      <w:b/>
      <w:color w:val="FFFFFF"/>
      <w:sz w:val="28"/>
      <w:szCs w:val="28"/>
      <w:shd w:val="clear" w:color="auto" w:fill="FFC000"/>
    </w:rPr>
  </w:style>
  <w:style w:type="character" w:customStyle="1" w:styleId="Policepardfaut2">
    <w:name w:val="Police par défaut2"/>
  </w:style>
  <w:style w:type="character" w:styleId="Lienhypertexte">
    <w:name w:val="Hyperlink"/>
    <w:rPr>
      <w:color w:val="000080"/>
      <w:u w:val="single"/>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Caractresdenotedebasdepage">
    <w:name w:val="Caractères de note de bas de page"/>
    <w:rPr>
      <w:vertAlign w:val="superscript"/>
    </w:rPr>
  </w:style>
  <w:style w:type="character" w:customStyle="1" w:styleId="WW-Caractresdenotedebasdepage">
    <w:name w:val="WW-Caractères de note de bas de page"/>
  </w:style>
  <w:style w:type="character" w:customStyle="1" w:styleId="Caractresdenumrotation">
    <w:name w:val="Caractères de numérotation"/>
    <w:rPr>
      <w:b/>
      <w:bCs/>
      <w:sz w:val="26"/>
      <w:szCs w:val="26"/>
    </w:rPr>
  </w:style>
  <w:style w:type="character" w:customStyle="1" w:styleId="Absatz-Standardschriftart">
    <w:name w:val="Absatz-Standardschriftart"/>
  </w:style>
  <w:style w:type="character" w:customStyle="1" w:styleId="WW8Num24z0">
    <w:name w:val="WW8Num24z0"/>
    <w:rPr>
      <w:rFonts w:ascii="Wingdings" w:hAnsi="Wingdings" w:cs="OpenSymbol"/>
    </w:rPr>
  </w:style>
  <w:style w:type="character" w:customStyle="1" w:styleId="WW8Num23z0">
    <w:name w:val="WW8Num23z0"/>
    <w:rPr>
      <w:rFonts w:ascii="Wingdings" w:hAnsi="Wingdings" w:cs="OpenSymbol"/>
    </w:rPr>
  </w:style>
  <w:style w:type="character" w:customStyle="1" w:styleId="WW8Num22z0">
    <w:name w:val="WW8Num22z0"/>
    <w:rPr>
      <w:rFonts w:ascii="Symbol" w:hAnsi="Symbol" w:cs="OpenSymbol"/>
    </w:rPr>
  </w:style>
  <w:style w:type="character" w:customStyle="1" w:styleId="WW8Num21z0">
    <w:name w:val="WW8Num21z0"/>
    <w:rPr>
      <w:rFonts w:ascii="Symbol" w:hAnsi="Symbol" w:cs="OpenSymbol"/>
    </w:rPr>
  </w:style>
  <w:style w:type="character" w:customStyle="1" w:styleId="WW8Num20z0">
    <w:name w:val="WW8Num20z0"/>
    <w:rPr>
      <w:rFonts w:ascii="Symbol" w:hAnsi="Symbol" w:cs="OpenSymbol"/>
    </w:rPr>
  </w:style>
  <w:style w:type="character" w:customStyle="1" w:styleId="WW8Num19z0">
    <w:name w:val="WW8Num19z0"/>
    <w:rPr>
      <w:rFonts w:ascii="Symbol" w:hAnsi="Symbol" w:cs="OpenSymbol"/>
    </w:rPr>
  </w:style>
  <w:style w:type="character" w:customStyle="1" w:styleId="WW8Num18z0">
    <w:name w:val="WW8Num18z0"/>
    <w:rPr>
      <w:rFonts w:ascii="Symbol" w:hAnsi="Symbol" w:cs="OpenSymbol"/>
    </w:rPr>
  </w:style>
  <w:style w:type="character" w:customStyle="1" w:styleId="WW8Num17z0">
    <w:name w:val="WW8Num17z0"/>
    <w:rPr>
      <w:rFonts w:ascii="Symbol" w:hAnsi="Symbol" w:cs="OpenSymbol"/>
    </w:rPr>
  </w:style>
  <w:style w:type="character" w:customStyle="1" w:styleId="WW8Num16z0">
    <w:name w:val="WW8Num16z0"/>
    <w:rPr>
      <w:rFonts w:ascii="Wingdings" w:hAnsi="Wingdings" w:cs="OpenSymbol"/>
    </w:rPr>
  </w:style>
  <w:style w:type="character" w:customStyle="1" w:styleId="WW8Num15z0">
    <w:name w:val="WW8Num15z0"/>
    <w:rPr>
      <w:rFonts w:ascii="Wingdings" w:hAnsi="Wingdings" w:cs="OpenSymbol"/>
    </w:rPr>
  </w:style>
  <w:style w:type="character" w:customStyle="1" w:styleId="WW8Num14z0">
    <w:name w:val="WW8Num14z0"/>
    <w:rPr>
      <w:rFonts w:ascii="Symbol" w:hAnsi="Symbol" w:cs="OpenSymbol"/>
    </w:rPr>
  </w:style>
  <w:style w:type="character" w:customStyle="1" w:styleId="WW8Num13z0">
    <w:name w:val="WW8Num13z0"/>
    <w:rPr>
      <w:rFonts w:ascii="Symbol" w:hAnsi="Symbol" w:cs="OpenSymbol"/>
    </w:rPr>
  </w:style>
  <w:style w:type="character" w:customStyle="1" w:styleId="WW8Num12z0">
    <w:name w:val="WW8Num12z0"/>
    <w:rPr>
      <w:rFonts w:ascii="Symbol" w:hAnsi="Symbol" w:cs="OpenSymbol"/>
    </w:rPr>
  </w:style>
  <w:style w:type="character" w:customStyle="1" w:styleId="WW8Num11z0">
    <w:name w:val="WW8Num11z0"/>
    <w:rPr>
      <w:rFonts w:ascii="Symbol" w:hAnsi="Symbol" w:cs="OpenSymbol"/>
    </w:rPr>
  </w:style>
  <w:style w:type="character" w:customStyle="1" w:styleId="WW8Num10z0">
    <w:name w:val="WW8Num10z0"/>
    <w:rPr>
      <w:rFonts w:ascii="Symbol" w:hAnsi="Symbol" w:cs="OpenSymbol"/>
    </w:rPr>
  </w:style>
  <w:style w:type="character" w:customStyle="1" w:styleId="WW8Num9z0">
    <w:name w:val="WW8Num9z0"/>
    <w:rPr>
      <w:rFonts w:ascii="Wingdings" w:hAnsi="Wingdings" w:cs="OpenSymbol"/>
    </w:rPr>
  </w:style>
  <w:style w:type="character" w:customStyle="1" w:styleId="WW8Num8z0">
    <w:name w:val="WW8Num8z0"/>
    <w:rPr>
      <w:rFonts w:ascii="Wingdings" w:hAnsi="Wingdings" w:cs="OpenSymbol"/>
    </w:rPr>
  </w:style>
  <w:style w:type="character" w:customStyle="1" w:styleId="WW8Num7z0">
    <w:name w:val="WW8Num7z0"/>
    <w:rPr>
      <w:rFonts w:ascii="Wingdings" w:hAnsi="Wingdings" w:cs="OpenSymbol"/>
    </w:rPr>
  </w:style>
  <w:style w:type="character" w:customStyle="1" w:styleId="WW8Num6z0">
    <w:name w:val="WW8Num6z0"/>
    <w:rPr>
      <w:b/>
      <w:bCs/>
      <w:sz w:val="26"/>
      <w:szCs w:val="26"/>
    </w:rPr>
  </w:style>
  <w:style w:type="character" w:customStyle="1" w:styleId="WW8Num5z1">
    <w:name w:val="WW8Num5z1"/>
    <w:rPr>
      <w:rFonts w:ascii="Wingdings" w:hAnsi="Wingdings" w:cs="OpenSymbol"/>
    </w:rPr>
  </w:style>
  <w:style w:type="character" w:customStyle="1" w:styleId="WW8Num5z0">
    <w:name w:val="WW8Num5z0"/>
    <w:rPr>
      <w:rFonts w:ascii="Symbol" w:hAnsi="Symbol" w:cs="OpenSymbol"/>
    </w:rPr>
  </w:style>
  <w:style w:type="character" w:customStyle="1" w:styleId="WW8Num4z0">
    <w:name w:val="WW8Num4z0"/>
    <w:rPr>
      <w:rFonts w:ascii="Symbol" w:hAnsi="Symbol" w:cs="OpenSymbol"/>
    </w:rPr>
  </w:style>
  <w:style w:type="character" w:customStyle="1" w:styleId="PieddepageCar">
    <w:name w:val="Pied de page Car"/>
    <w:rPr>
      <w:rFonts w:ascii="Liberation Sans" w:eastAsia="Lucida Sans Unicode" w:hAnsi="Liberation Sans" w:cs="Liberation Sans"/>
      <w:sz w:val="24"/>
      <w:szCs w:val="24"/>
      <w:lang w:val="fr-FR" w:eastAsia="hi-IN" w:bidi="hi-IN"/>
    </w:rPr>
  </w:style>
  <w:style w:type="character" w:customStyle="1" w:styleId="RetraitcorpsdetexteCar">
    <w:name w:val="Retrait corps de texte Car"/>
    <w:rPr>
      <w:rFonts w:ascii="Times New Roman" w:eastAsia="Lucida Sans Unicode" w:hAnsi="Times New Roman" w:cs="Times New Roman"/>
      <w:kern w:val="1"/>
      <w:sz w:val="24"/>
      <w:szCs w:val="24"/>
      <w:lang w:val="fr-FR"/>
    </w:rPr>
  </w:style>
  <w:style w:type="character" w:customStyle="1" w:styleId="Marquedecommentaire1">
    <w:name w:val="Marque de commentaire1"/>
    <w:rPr>
      <w:sz w:val="16"/>
      <w:szCs w:val="16"/>
    </w:rPr>
  </w:style>
  <w:style w:type="character" w:customStyle="1" w:styleId="CommentaireCar">
    <w:name w:val="Commentaire Car"/>
    <w:rPr>
      <w:rFonts w:ascii="Liberation Serif" w:eastAsia="NSimSun" w:hAnsi="Liberation Serif" w:cs="Mangal"/>
      <w:kern w:val="1"/>
      <w:szCs w:val="18"/>
      <w:lang w:eastAsia="hi-IN" w:bidi="hi-IN"/>
    </w:rPr>
  </w:style>
  <w:style w:type="character" w:customStyle="1" w:styleId="ObjetducommentaireCar">
    <w:name w:val="Objet du commentaire Car"/>
    <w:rPr>
      <w:rFonts w:ascii="Liberation Serif" w:eastAsia="NSimSun" w:hAnsi="Liberation Serif" w:cs="Mangal"/>
      <w:b/>
      <w:bCs/>
      <w:kern w:val="1"/>
      <w:szCs w:val="18"/>
      <w:lang w:eastAsia="hi-IN" w:bidi="hi-IN"/>
    </w:rPr>
  </w:style>
  <w:style w:type="character" w:customStyle="1" w:styleId="TextedebullesCar">
    <w:name w:val="Texte de bulles Car"/>
    <w:rPr>
      <w:rFonts w:ascii="Segoe UI" w:eastAsia="NSimSun" w:hAnsi="Segoe UI" w:cs="Mangal"/>
      <w:kern w:val="1"/>
      <w:sz w:val="18"/>
      <w:szCs w:val="16"/>
      <w:lang w:eastAsia="hi-IN" w:bidi="hi-IN"/>
    </w:rPr>
  </w:style>
  <w:style w:type="character" w:customStyle="1" w:styleId="Titre3Car">
    <w:name w:val="Titre 3 Car"/>
    <w:rPr>
      <w:rFonts w:ascii="Calibri" w:eastAsia="SimSun" w:hAnsi="Calibri" w:cs="Calibri"/>
      <w:b/>
      <w:caps/>
    </w:rPr>
  </w:style>
  <w:style w:type="character" w:customStyle="1" w:styleId="Titre4Car">
    <w:name w:val="Titre 4 Car"/>
    <w:rPr>
      <w:rFonts w:ascii="Calibri" w:eastAsia="SimSun" w:hAnsi="Calibri" w:cs="Calibri"/>
      <w:b/>
      <w:sz w:val="24"/>
    </w:rPr>
  </w:style>
  <w:style w:type="character" w:customStyle="1" w:styleId="Titre5Car">
    <w:name w:val="Titre 5 Car"/>
    <w:rPr>
      <w:rFonts w:ascii="Calibri" w:eastAsia="SimSun" w:hAnsi="Calibri" w:cs="Calibri"/>
      <w:b/>
      <w:sz w:val="32"/>
    </w:rPr>
  </w:style>
  <w:style w:type="character" w:customStyle="1" w:styleId="Titre6Car">
    <w:name w:val="Titre 6 Car"/>
    <w:rPr>
      <w:rFonts w:ascii="Calibri" w:eastAsia="SimSun" w:hAnsi="Calibri" w:cs="Calibri"/>
      <w:b/>
      <w:sz w:val="24"/>
      <w:u w:val="single"/>
    </w:rPr>
  </w:style>
  <w:style w:type="character" w:customStyle="1" w:styleId="Titre7Car">
    <w:name w:val="Titre 7 Car"/>
    <w:rPr>
      <w:rFonts w:ascii="Calibri" w:eastAsia="SimSun" w:hAnsi="Calibri" w:cs="Calibri"/>
      <w:sz w:val="24"/>
    </w:rPr>
  </w:style>
  <w:style w:type="character" w:customStyle="1" w:styleId="Titre8Car">
    <w:name w:val="Titre 8 Car"/>
    <w:rPr>
      <w:rFonts w:ascii="Calibri" w:eastAsia="SimSun" w:hAnsi="Calibri" w:cs="Calibri"/>
      <w:sz w:val="24"/>
      <w:u w:val="single"/>
    </w:rPr>
  </w:style>
  <w:style w:type="character" w:customStyle="1" w:styleId="Titre9Car">
    <w:name w:val="Titre 9 Car"/>
    <w:rPr>
      <w:rFonts w:ascii="Calibri" w:eastAsia="SimSun" w:hAnsi="Calibri" w:cs="Calibri"/>
      <w:b/>
      <w:bCs/>
      <w:sz w:val="24"/>
    </w:rPr>
  </w:style>
  <w:style w:type="character" w:customStyle="1" w:styleId="Sous-titreCar">
    <w:name w:val="Sous-titre Car"/>
    <w:rPr>
      <w:rFonts w:ascii="Arial" w:eastAsia="Microsoft YaHei" w:hAnsi="Arial" w:cs="Lucida Sans"/>
      <w:i/>
      <w:iCs/>
      <w:sz w:val="28"/>
      <w:szCs w:val="28"/>
    </w:rPr>
  </w:style>
  <w:style w:type="character" w:styleId="lev">
    <w:name w:val="Strong"/>
    <w:qFormat/>
    <w:rPr>
      <w:b/>
      <w:bCs/>
    </w:rPr>
  </w:style>
  <w:style w:type="character" w:styleId="Accentuation">
    <w:name w:val="Emphasis"/>
    <w:qFormat/>
    <w:rPr>
      <w:i/>
      <w:iCs/>
    </w:rPr>
  </w:style>
  <w:style w:type="character" w:customStyle="1" w:styleId="CitationCar">
    <w:name w:val="Citation Car"/>
    <w:rPr>
      <w:rFonts w:ascii="Calibri" w:hAnsi="Calibri" w:cs="Calibri"/>
      <w:i/>
      <w:iCs/>
      <w:color w:val="404040"/>
      <w:sz w:val="22"/>
    </w:rPr>
  </w:style>
  <w:style w:type="character" w:customStyle="1" w:styleId="CitationintenseCar">
    <w:name w:val="Citation intense Car"/>
    <w:rPr>
      <w:rFonts w:ascii="Calibri" w:eastAsia="SimSun" w:hAnsi="Calibri" w:cs="Calibri"/>
      <w:i/>
      <w:iCs/>
      <w:color w:val="5B9BD5"/>
      <w:sz w:val="22"/>
    </w:rPr>
  </w:style>
  <w:style w:type="character" w:styleId="Emphaseple">
    <w:name w:val="Subtle Emphasis"/>
    <w:qFormat/>
    <w:rPr>
      <w:i/>
      <w:iCs/>
      <w:color w:val="404040"/>
    </w:rPr>
  </w:style>
  <w:style w:type="character" w:styleId="Emphaseintense">
    <w:name w:val="Intense Emphasis"/>
    <w:qFormat/>
    <w:rPr>
      <w:i/>
      <w:iCs/>
      <w:color w:val="5B9BD5"/>
    </w:rPr>
  </w:style>
  <w:style w:type="character" w:styleId="Rfrenceple">
    <w:name w:val="Subtle Reference"/>
    <w:qFormat/>
    <w:rPr>
      <w:smallCaps/>
      <w:color w:val="5A5A5A"/>
    </w:rPr>
  </w:style>
  <w:style w:type="character" w:styleId="Rfrenceintense">
    <w:name w:val="Intense Reference"/>
    <w:qFormat/>
    <w:rPr>
      <w:b/>
      <w:bCs/>
      <w:smallCaps/>
      <w:color w:val="5B9BD5"/>
      <w:spacing w:val="5"/>
    </w:rPr>
  </w:style>
  <w:style w:type="character" w:styleId="Titredulivre">
    <w:name w:val="Book Title"/>
    <w:qFormat/>
    <w:rPr>
      <w:b/>
      <w:bCs/>
      <w:i/>
      <w:iCs/>
      <w:spacing w:val="5"/>
    </w:rPr>
  </w:style>
  <w:style w:type="paragraph" w:customStyle="1" w:styleId="Titre20">
    <w:name w:val="Titre2"/>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customStyle="1" w:styleId="Lgende1">
    <w:name w:val="Légende1"/>
    <w:basedOn w:val="Normal"/>
    <w:next w:val="Normal"/>
    <w:rPr>
      <w:b/>
      <w:bCs/>
      <w:sz w:val="20"/>
    </w:rPr>
  </w:style>
  <w:style w:type="paragraph" w:customStyle="1" w:styleId="Index">
    <w:name w:val="Index"/>
    <w:basedOn w:val="Normal"/>
    <w:pPr>
      <w:suppressLineNumbers/>
    </w:pPr>
    <w:rPr>
      <w:rFonts w:cs="Arial"/>
    </w:rPr>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styleId="Titre">
    <w:name w:val="Title"/>
    <w:basedOn w:val="Normal"/>
    <w:next w:val="Sous-titre"/>
    <w:qFormat/>
    <w:pPr>
      <w:shd w:val="clear" w:color="auto" w:fill="FFC000"/>
      <w:jc w:val="center"/>
    </w:pPr>
    <w:rPr>
      <w:rFonts w:ascii="Calibri Light" w:eastAsia="SimSun" w:hAnsi="Calibri Light" w:cs="font315"/>
      <w:b/>
      <w:bCs/>
      <w:color w:val="FFFFFF"/>
      <w:spacing w:val="-10"/>
      <w:kern w:val="1"/>
      <w:sz w:val="32"/>
      <w:szCs w:val="56"/>
    </w:rPr>
  </w:style>
  <w:style w:type="paragraph" w:styleId="Sous-titre">
    <w:name w:val="Subtitle"/>
    <w:basedOn w:val="Titre10"/>
    <w:next w:val="Corpsdetexte"/>
    <w:qFormat/>
    <w:pPr>
      <w:jc w:val="center"/>
    </w:pPr>
    <w:rPr>
      <w:rFonts w:ascii="Arial" w:hAnsi="Arial" w:cs="Lucida Sans"/>
      <w:i/>
      <w:iCs/>
    </w:rPr>
  </w:style>
  <w:style w:type="paragraph" w:customStyle="1" w:styleId="DocumentMap">
    <w:name w:val="DocumentMap"/>
    <w:pPr>
      <w:suppressAutoHyphens/>
      <w:spacing w:after="160" w:line="256" w:lineRule="auto"/>
    </w:pPr>
    <w:rPr>
      <w:rFonts w:ascii="Calibri" w:eastAsia="Cambria Math" w:hAnsi="Calibri" w:cs="Calibri"/>
      <w:kern w:val="1"/>
      <w:sz w:val="22"/>
      <w:szCs w:val="22"/>
      <w:lang w:eastAsia="ar-SA"/>
    </w:rPr>
  </w:style>
  <w:style w:type="paragraph" w:customStyle="1" w:styleId="Grilledutableau1">
    <w:name w:val="Grille du tableau1"/>
    <w:basedOn w:val="DocumentMap"/>
  </w:style>
  <w:style w:type="paragraph" w:styleId="En-tte">
    <w:name w:val="header"/>
    <w:basedOn w:val="Normal"/>
    <w:pPr>
      <w:suppressLineNumbers/>
      <w:tabs>
        <w:tab w:val="center" w:pos="4818"/>
        <w:tab w:val="right" w:pos="9637"/>
      </w:tabs>
    </w:pPr>
  </w:style>
  <w:style w:type="paragraph" w:styleId="Pieddepage">
    <w:name w:val="footer"/>
    <w:basedOn w:val="Normal"/>
    <w:pPr>
      <w:suppressLineNumbers/>
      <w:tabs>
        <w:tab w:val="center" w:pos="4819"/>
        <w:tab w:val="right" w:pos="9638"/>
      </w:tabs>
    </w:pPr>
  </w:style>
  <w:style w:type="paragraph" w:styleId="Notedefin">
    <w:name w:val="endnote text"/>
    <w:basedOn w:val="Normal"/>
    <w:pPr>
      <w:suppressLineNumbers/>
      <w:ind w:left="283" w:hanging="283"/>
    </w:pPr>
    <w:rPr>
      <w:sz w:val="20"/>
    </w:rPr>
  </w:style>
  <w:style w:type="paragraph" w:styleId="Notedebasdepage">
    <w:name w:val="footnote text"/>
    <w:basedOn w:val="Normal"/>
    <w:pPr>
      <w:suppressLineNumbers/>
      <w:ind w:left="283" w:hanging="283"/>
    </w:pPr>
    <w:rPr>
      <w:sz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styleId="Retraitcorpsdetexte">
    <w:name w:val="Body Text Indent"/>
    <w:basedOn w:val="Corpsdetexte"/>
  </w:style>
  <w:style w:type="paragraph" w:customStyle="1" w:styleId="Commentaire1">
    <w:name w:val="Commentaire1"/>
    <w:basedOn w:val="Normal"/>
    <w:rPr>
      <w:rFonts w:cs="Mangal"/>
      <w:sz w:val="20"/>
      <w:szCs w:val="18"/>
    </w:rPr>
  </w:style>
  <w:style w:type="paragraph" w:styleId="Objetducommentaire">
    <w:name w:val="annotation subject"/>
    <w:basedOn w:val="Commentaire1"/>
    <w:next w:val="Commentaire1"/>
    <w:rPr>
      <w:b/>
      <w:bCs/>
    </w:rPr>
  </w:style>
  <w:style w:type="paragraph" w:styleId="Textedebulles">
    <w:name w:val="Balloon Text"/>
    <w:basedOn w:val="Normal"/>
    <w:rPr>
      <w:rFonts w:ascii="Segoe UI" w:hAnsi="Segoe UI" w:cs="Mangal"/>
      <w:sz w:val="18"/>
      <w:szCs w:val="16"/>
    </w:rPr>
  </w:style>
  <w:style w:type="paragraph" w:styleId="Sansinterligne">
    <w:name w:val="No Spacing"/>
    <w:qFormat/>
    <w:pPr>
      <w:suppressAutoHyphens/>
    </w:pPr>
    <w:rPr>
      <w:rFonts w:ascii="Calibri" w:hAnsi="Calibri" w:cs="Calibri"/>
      <w:sz w:val="22"/>
      <w:lang w:eastAsia="ar-SA"/>
    </w:rPr>
  </w:style>
  <w:style w:type="paragraph" w:styleId="Citation">
    <w:name w:val="Quote"/>
    <w:basedOn w:val="Normal"/>
    <w:next w:val="Normal"/>
    <w:qFormat/>
    <w:pPr>
      <w:spacing w:before="200" w:after="160"/>
      <w:ind w:left="864" w:right="864"/>
      <w:jc w:val="center"/>
    </w:pPr>
    <w:rPr>
      <w:i/>
      <w:iCs/>
      <w:color w:val="404040"/>
    </w:rPr>
  </w:style>
  <w:style w:type="paragraph" w:styleId="Citationintense">
    <w:name w:val="Intense Quote"/>
    <w:basedOn w:val="Normal"/>
    <w:next w:val="Normal"/>
    <w:qFormat/>
    <w:pPr>
      <w:pBdr>
        <w:top w:val="single" w:sz="4" w:space="10" w:color="000000"/>
        <w:bottom w:val="single" w:sz="4" w:space="10" w:color="000000"/>
      </w:pBdr>
      <w:spacing w:before="360" w:after="360"/>
      <w:ind w:left="864" w:right="864"/>
      <w:jc w:val="center"/>
    </w:pPr>
    <w:rPr>
      <w:rFonts w:eastAsia="SimSun"/>
      <w:i/>
      <w:iCs/>
      <w:color w:val="5B9BD5"/>
    </w:rPr>
  </w:style>
  <w:style w:type="paragraph" w:styleId="En-ttedetabledesmatires">
    <w:name w:val="TOC Heading"/>
    <w:basedOn w:val="Titre1"/>
    <w:next w:val="Normal"/>
    <w:qFormat/>
    <w:pPr>
      <w:numPr>
        <w:numId w:val="0"/>
      </w:numPr>
      <w:shd w:val="clear" w:color="auto" w:fill="auto"/>
      <w:tabs>
        <w:tab w:val="left" w:pos="0"/>
      </w:tabs>
      <w:spacing w:after="60"/>
    </w:pPr>
    <w:rPr>
      <w:rFonts w:eastAsia="Times New Roman"/>
      <w:bCs/>
      <w:color w:val="auto"/>
      <w:kern w:val="1"/>
      <w:sz w:val="32"/>
      <w:szCs w:val="32"/>
    </w:rPr>
  </w:style>
  <w:style w:type="paragraph" w:styleId="Paragraphedeliste">
    <w:name w:val="List Paragraph"/>
    <w:basedOn w:val="Normal"/>
    <w:qFormat/>
    <w:pPr>
      <w:ind w:left="708"/>
    </w:pPr>
    <w:rPr>
      <w:rFonts w:cs="Mangal"/>
      <w:lang w:val="en-US" w:eastAsia="hi-IN" w:bidi="hi-IN"/>
    </w:rPr>
  </w:style>
  <w:style w:type="paragraph" w:customStyle="1" w:styleId="formulaire">
    <w:name w:val="formulaire"/>
    <w:basedOn w:val="Normal"/>
    <w:rPr>
      <w:rFonts w:cs="Arial"/>
      <w:b/>
      <w:bCs/>
      <w:i/>
      <w:iCs/>
      <w:sz w:val="2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2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car.outil.culture.fr/oscar_outil" TargetMode="External"/><Relationship Id="rId3" Type="http://schemas.openxmlformats.org/officeDocument/2006/relationships/settings" Target="settings.xml"/><Relationship Id="rId7" Type="http://schemas.openxmlformats.org/officeDocument/2006/relationships/hyperlink" Target="https://www.culture.gouv.fr/Regions/Drac-Grand-Est/aides/subven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7175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8463</CharactersWithSpaces>
  <SharedDoc>false</SharedDoc>
  <HLinks>
    <vt:vector size="6" baseType="variant">
      <vt:variant>
        <vt:i4>3735630</vt:i4>
      </vt:variant>
      <vt:variant>
        <vt:i4>0</vt:i4>
      </vt:variant>
      <vt:variant>
        <vt:i4>0</vt:i4>
      </vt:variant>
      <vt:variant>
        <vt:i4>5</vt:i4>
      </vt:variant>
      <vt:variant>
        <vt:lpwstr>https://oscar.outil.culture.fr/oscar_outil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Suzanne</dc:creator>
  <cp:keywords/>
  <cp:lastModifiedBy>WINTREBERT Isabelle</cp:lastModifiedBy>
  <cp:revision>3</cp:revision>
  <cp:lastPrinted>1899-12-31T23:00:00Z</cp:lastPrinted>
  <dcterms:created xsi:type="dcterms:W3CDTF">2022-03-02T06:33:00Z</dcterms:created>
  <dcterms:modified xsi:type="dcterms:W3CDTF">2022-03-07T13:12:00Z</dcterms:modified>
</cp:coreProperties>
</file>